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pStyle w:val="Style11"/>
        <w:keepNext w:val="0"/>
        <w:keepLines w:val="0"/>
        <w:widowControl w:val="0"/>
        <w:shd w:val="clear" w:color="auto" w:fill="auto"/>
        <w:bidi w:val="0"/>
        <w:spacing w:before="0" w:after="0" w:line="240" w:lineRule="auto"/>
        <w:ind w:left="1040" w:right="0" w:firstLine="0"/>
        <w:jc w:val="left"/>
      </w:pPr>
      <w:r>
        <mc:AlternateContent>
          <mc:Choice Requires="wps">
            <w:drawing>
              <wp:anchor distT="0" distB="0" distL="114300" distR="114300" simplePos="0" relativeHeight="125829378" behindDoc="0" locked="0" layoutInCell="1" allowOverlap="1">
                <wp:simplePos x="0" y="0"/>
                <wp:positionH relativeFrom="page">
                  <wp:posOffset>717550</wp:posOffset>
                </wp:positionH>
                <wp:positionV relativeFrom="paragraph">
                  <wp:posOffset>127000</wp:posOffset>
                </wp:positionV>
                <wp:extent cx="2584450" cy="2654935"/>
                <wp:wrapSquare wrapText="right"/>
                <wp:docPr id="1" name="Shape 1"/>
                <a:graphic xmlns:a="http://schemas.openxmlformats.org/drawingml/2006/main">
                  <a:graphicData uri="http://schemas.microsoft.com/office/word/2010/wordprocessingShape">
                    <wps:wsp>
                      <wps:cNvSpPr txBox="1"/>
                      <wps:spPr>
                        <a:xfrm>
                          <a:ext cx="2584450" cy="2654935"/>
                        </a:xfrm>
                        <a:prstGeom prst="rect"/>
                        <a:noFill/>
                      </wps:spPr>
                      <wps:txbx>
                        <w:txbxContent>
                          <w:p>
                            <w:pPr>
                              <w:pStyle w:val="Style2"/>
                              <w:keepNext w:val="0"/>
                              <w:keepLines w:val="0"/>
                              <w:widowControl w:val="0"/>
                              <w:shd w:val="clear" w:color="auto" w:fill="auto"/>
                              <w:bidi w:val="0"/>
                              <w:spacing w:before="0" w:after="120" w:line="288" w:lineRule="auto"/>
                              <w:ind w:left="0" w:right="0" w:firstLine="0"/>
                              <w:jc w:val="center"/>
                              <w:rPr>
                                <w:sz w:val="17"/>
                                <w:szCs w:val="17"/>
                              </w:rPr>
                            </w:pPr>
                            <w:r>
                              <w:rPr>
                                <w:b/>
                                <w:bCs/>
                                <w:spacing w:val="0"/>
                                <w:w w:val="100"/>
                                <w:position w:val="0"/>
                                <w:sz w:val="17"/>
                                <w:szCs w:val="17"/>
                                <w:shd w:val="clear" w:color="auto" w:fill="auto"/>
                                <w:lang w:val="ru-RU" w:eastAsia="ru-RU" w:bidi="ru-RU"/>
                              </w:rPr>
                              <w:t>ФЕДЕРАЛЬНАЯ</w:t>
                              <w:br/>
                              <w:t>АНТИМОНОПОЛЬНАЯ СЛУЖБА</w:t>
                            </w:r>
                          </w:p>
                          <w:p>
                            <w:pPr>
                              <w:pStyle w:val="Style5"/>
                              <w:keepNext w:val="0"/>
                              <w:keepLines w:val="0"/>
                              <w:widowControl w:val="0"/>
                              <w:shd w:val="clear" w:color="auto" w:fill="auto"/>
                              <w:bidi w:val="0"/>
                              <w:spacing w:before="0" w:line="240" w:lineRule="auto"/>
                              <w:ind w:left="0" w:right="0" w:firstLine="0"/>
                              <w:jc w:val="center"/>
                            </w:pPr>
                            <w:r>
                              <w:rPr>
                                <w:spacing w:val="0"/>
                                <w:w w:val="100"/>
                                <w:position w:val="0"/>
                                <w:shd w:val="clear" w:color="auto" w:fill="auto"/>
                                <w:lang w:val="ru-RU" w:eastAsia="ru-RU" w:bidi="ru-RU"/>
                              </w:rPr>
                              <w:t>УПРАВЛЕНИЕ</w:t>
                              <w:br/>
                              <w:t>Федеральной антимонопольной службы</w:t>
                              <w:br/>
                              <w:t>по Тверской области</w:t>
                            </w:r>
                          </w:p>
                          <w:p>
                            <w:pPr>
                              <w:pStyle w:val="Style2"/>
                              <w:keepNext w:val="0"/>
                              <w:keepLines w:val="0"/>
                              <w:widowControl w:val="0"/>
                              <w:shd w:val="clear" w:color="auto" w:fill="auto"/>
                              <w:bidi w:val="0"/>
                              <w:spacing w:before="0" w:after="0"/>
                              <w:ind w:left="0" w:right="0" w:firstLine="0"/>
                              <w:jc w:val="center"/>
                            </w:pPr>
                            <w:r>
                              <w:rPr>
                                <w:spacing w:val="0"/>
                                <w:w w:val="100"/>
                                <w:position w:val="0"/>
                                <w:shd w:val="clear" w:color="auto" w:fill="auto"/>
                                <w:lang w:val="ru-RU" w:eastAsia="ru-RU" w:bidi="ru-RU"/>
                              </w:rPr>
                              <w:t>пл. Святого Благоверного Князя</w:t>
                            </w:r>
                          </w:p>
                          <w:p>
                            <w:pPr>
                              <w:pStyle w:val="Style2"/>
                              <w:keepNext w:val="0"/>
                              <w:keepLines w:val="0"/>
                              <w:widowControl w:val="0"/>
                              <w:shd w:val="clear" w:color="auto" w:fill="auto"/>
                              <w:bidi w:val="0"/>
                              <w:spacing w:before="0" w:after="0"/>
                              <w:ind w:left="0" w:right="0" w:firstLine="0"/>
                              <w:jc w:val="center"/>
                            </w:pPr>
                            <w:r>
                              <w:rPr>
                                <w:spacing w:val="0"/>
                                <w:w w:val="100"/>
                                <w:position w:val="0"/>
                                <w:shd w:val="clear" w:color="auto" w:fill="auto"/>
                                <w:lang w:val="ru-RU" w:eastAsia="ru-RU" w:bidi="ru-RU"/>
                              </w:rPr>
                              <w:t>Михаила Тверского, д.5, г.Тверь, 170100</w:t>
                              <w:br/>
                              <w:t>тел. (4822) 32-08-32</w:t>
                            </w:r>
                          </w:p>
                          <w:p>
                            <w:pPr>
                              <w:pStyle w:val="Style2"/>
                              <w:keepNext w:val="0"/>
                              <w:keepLines w:val="0"/>
                              <w:widowControl w:val="0"/>
                              <w:shd w:val="clear" w:color="auto" w:fill="auto"/>
                              <w:bidi w:val="0"/>
                              <w:spacing w:before="0" w:after="40"/>
                              <w:ind w:left="0" w:right="0" w:firstLine="0"/>
                              <w:jc w:val="center"/>
                            </w:pPr>
                            <w:r>
                              <w:rPr>
                                <w:spacing w:val="0"/>
                                <w:w w:val="100"/>
                                <w:position w:val="0"/>
                                <w:shd w:val="clear" w:color="auto" w:fill="auto"/>
                                <w:lang w:val="ru-RU" w:eastAsia="ru-RU" w:bidi="ru-RU"/>
                              </w:rPr>
                              <w:t>е-тай: 1о69@Га5.{»оу.ги</w:t>
                            </w:r>
                          </w:p>
                          <w:p>
                            <w:pPr>
                              <w:pStyle w:val="Style7"/>
                              <w:keepNext w:val="0"/>
                              <w:keepLines w:val="0"/>
                              <w:widowControl w:val="0"/>
                              <w:shd w:val="clear" w:color="auto" w:fill="auto"/>
                              <w:bidi w:val="0"/>
                              <w:spacing w:before="0" w:line="240" w:lineRule="auto"/>
                              <w:ind w:left="0" w:right="0"/>
                              <w:jc w:val="left"/>
                            </w:pPr>
                            <w:r>
                              <w:fldChar w:fldCharType="begin"/>
                            </w:r>
                            <w:r>
                              <w:rPr/>
                              <w:instrText> HYPERLINK "file://f207ca94-a13c-4ba0-b72d-f018c9eed8f1/" </w:instrText>
                            </w:r>
                            <w:r>
                              <w:fldChar w:fldCharType="separate"/>
                            </w:r>
                            <w:r>
                              <w:rPr>
                                <w:color w:val="000000"/>
                                <w:spacing w:val="0"/>
                                <w:w w:val="100"/>
                                <w:position w:val="0"/>
                                <w:shd w:val="clear" w:color="auto" w:fill="auto"/>
                                <w:lang w:val="ru-RU" w:eastAsia="ru-RU" w:bidi="ru-RU"/>
                              </w:rPr>
                              <w:t>28.01.2025</w:t>
                            </w:r>
                            <w:r>
                              <w:fldChar w:fldCharType="end"/>
                            </w:r>
                            <w:r>
                              <w:rPr>
                                <w:color w:val="000000"/>
                                <w:spacing w:val="0"/>
                                <w:w w:val="100"/>
                                <w:position w:val="0"/>
                                <w:u w:val="none"/>
                                <w:shd w:val="clear" w:color="auto" w:fill="auto"/>
                                <w:lang w:val="ru-RU" w:eastAsia="ru-RU" w:bidi="ru-RU"/>
                              </w:rPr>
                              <w:t xml:space="preserve"> К</w:t>
                            </w:r>
                            <w:r>
                              <w:rPr>
                                <w:color w:val="000000"/>
                                <w:spacing w:val="0"/>
                                <w:w w:val="100"/>
                                <w:position w:val="0"/>
                                <w:shd w:val="clear" w:color="auto" w:fill="auto"/>
                                <w:lang w:val="ru-RU" w:eastAsia="ru-RU" w:bidi="ru-RU"/>
                              </w:rPr>
                              <w:t>» 703/25</w:t>
                            </w:r>
                          </w:p>
                          <w:p>
                            <w:pPr>
                              <w:pStyle w:val="Style5"/>
                              <w:keepNext w:val="0"/>
                              <w:keepLines w:val="0"/>
                              <w:widowControl w:val="0"/>
                              <w:shd w:val="clear" w:color="auto" w:fill="auto"/>
                              <w:bidi w:val="0"/>
                              <w:spacing w:before="0" w:after="620" w:line="264" w:lineRule="auto"/>
                              <w:ind w:left="0" w:right="0" w:firstLine="0"/>
                              <w:jc w:val="left"/>
                              <w:rPr>
                                <w:sz w:val="18"/>
                                <w:szCs w:val="18"/>
                              </w:rPr>
                            </w:pPr>
                            <w:r>
                              <w:rPr>
                                <w:b w:val="0"/>
                                <w:bCs w:val="0"/>
                                <w:spacing w:val="0"/>
                                <w:w w:val="100"/>
                                <w:position w:val="0"/>
                                <w:sz w:val="18"/>
                                <w:szCs w:val="18"/>
                                <w:shd w:val="clear" w:color="auto" w:fill="auto"/>
                                <w:lang w:val="ru-RU" w:eastAsia="ru-RU" w:bidi="ru-RU"/>
                              </w:rPr>
                              <w:t xml:space="preserve">На №  от</w:t>
                            </w:r>
                          </w:p>
                          <w:p>
                            <w:pPr>
                              <w:pStyle w:val="Style11"/>
                              <w:keepNext w:val="0"/>
                              <w:keepLines w:val="0"/>
                              <w:widowControl w:val="0"/>
                              <w:shd w:val="clear" w:color="auto" w:fill="auto"/>
                              <w:bidi w:val="0"/>
                              <w:spacing w:before="0" w:after="16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Решение 069/06/105-79/2025</w:t>
                            </w:r>
                          </w:p>
                        </w:txbxContent>
                      </wps:txbx>
                      <wps:bodyPr lIns="0" tIns="0" rIns="0" bIns="0">
                        <a:noAutoFit/>
                      </wps:bodyPr>
                    </wps:wsp>
                  </a:graphicData>
                </a:graphic>
              </wp:anchor>
            </w:drawing>
          </mc:Choice>
          <mc:Fallback>
            <w:pict>
              <v:shapetype id="_x0000_t202" coordsize="21600,21600" o:spt="202" path="m,l,21600r21600,l21600,xe">
                <v:stroke joinstyle="miter"/>
                <v:path gradientshapeok="t" o:connecttype="rect"/>
              </v:shapetype>
              <v:shape id="_x0000_s1027" type="#_x0000_t202" style="position:absolute;margin-left:56.5pt;margin-top:10.pt;width:203.5pt;height:209.05000000000001pt;z-index:-125829375;mso-wrap-distance-left:9.pt;mso-wrap-distance-right:9.pt;mso-position-horizontal-relative:page" filled="f" stroked="f">
                <v:textbox inset="0,0,0,0">
                  <w:txbxContent>
                    <w:p>
                      <w:pPr>
                        <w:pStyle w:val="Style2"/>
                        <w:keepNext w:val="0"/>
                        <w:keepLines w:val="0"/>
                        <w:widowControl w:val="0"/>
                        <w:shd w:val="clear" w:color="auto" w:fill="auto"/>
                        <w:bidi w:val="0"/>
                        <w:spacing w:before="0" w:after="120" w:line="288" w:lineRule="auto"/>
                        <w:ind w:left="0" w:right="0" w:firstLine="0"/>
                        <w:jc w:val="center"/>
                        <w:rPr>
                          <w:sz w:val="17"/>
                          <w:szCs w:val="17"/>
                        </w:rPr>
                      </w:pPr>
                      <w:r>
                        <w:rPr>
                          <w:b/>
                          <w:bCs/>
                          <w:spacing w:val="0"/>
                          <w:w w:val="100"/>
                          <w:position w:val="0"/>
                          <w:sz w:val="17"/>
                          <w:szCs w:val="17"/>
                          <w:shd w:val="clear" w:color="auto" w:fill="auto"/>
                          <w:lang w:val="ru-RU" w:eastAsia="ru-RU" w:bidi="ru-RU"/>
                        </w:rPr>
                        <w:t>ФЕДЕРАЛЬНАЯ</w:t>
                        <w:br/>
                        <w:t>АНТИМОНОПОЛЬНАЯ СЛУЖБА</w:t>
                      </w:r>
                    </w:p>
                    <w:p>
                      <w:pPr>
                        <w:pStyle w:val="Style5"/>
                        <w:keepNext w:val="0"/>
                        <w:keepLines w:val="0"/>
                        <w:widowControl w:val="0"/>
                        <w:shd w:val="clear" w:color="auto" w:fill="auto"/>
                        <w:bidi w:val="0"/>
                        <w:spacing w:before="0" w:line="240" w:lineRule="auto"/>
                        <w:ind w:left="0" w:right="0" w:firstLine="0"/>
                        <w:jc w:val="center"/>
                      </w:pPr>
                      <w:r>
                        <w:rPr>
                          <w:spacing w:val="0"/>
                          <w:w w:val="100"/>
                          <w:position w:val="0"/>
                          <w:shd w:val="clear" w:color="auto" w:fill="auto"/>
                          <w:lang w:val="ru-RU" w:eastAsia="ru-RU" w:bidi="ru-RU"/>
                        </w:rPr>
                        <w:t>УПРАВЛЕНИЕ</w:t>
                        <w:br/>
                        <w:t>Федеральной антимонопольной службы</w:t>
                        <w:br/>
                        <w:t>по Тверской области</w:t>
                      </w:r>
                    </w:p>
                    <w:p>
                      <w:pPr>
                        <w:pStyle w:val="Style2"/>
                        <w:keepNext w:val="0"/>
                        <w:keepLines w:val="0"/>
                        <w:widowControl w:val="0"/>
                        <w:shd w:val="clear" w:color="auto" w:fill="auto"/>
                        <w:bidi w:val="0"/>
                        <w:spacing w:before="0" w:after="0"/>
                        <w:ind w:left="0" w:right="0" w:firstLine="0"/>
                        <w:jc w:val="center"/>
                      </w:pPr>
                      <w:r>
                        <w:rPr>
                          <w:spacing w:val="0"/>
                          <w:w w:val="100"/>
                          <w:position w:val="0"/>
                          <w:shd w:val="clear" w:color="auto" w:fill="auto"/>
                          <w:lang w:val="ru-RU" w:eastAsia="ru-RU" w:bidi="ru-RU"/>
                        </w:rPr>
                        <w:t>пл. Святого Благоверного Князя</w:t>
                      </w:r>
                    </w:p>
                    <w:p>
                      <w:pPr>
                        <w:pStyle w:val="Style2"/>
                        <w:keepNext w:val="0"/>
                        <w:keepLines w:val="0"/>
                        <w:widowControl w:val="0"/>
                        <w:shd w:val="clear" w:color="auto" w:fill="auto"/>
                        <w:bidi w:val="0"/>
                        <w:spacing w:before="0" w:after="0"/>
                        <w:ind w:left="0" w:right="0" w:firstLine="0"/>
                        <w:jc w:val="center"/>
                      </w:pPr>
                      <w:r>
                        <w:rPr>
                          <w:spacing w:val="0"/>
                          <w:w w:val="100"/>
                          <w:position w:val="0"/>
                          <w:shd w:val="clear" w:color="auto" w:fill="auto"/>
                          <w:lang w:val="ru-RU" w:eastAsia="ru-RU" w:bidi="ru-RU"/>
                        </w:rPr>
                        <w:t>Михаила Тверского, д.5, г.Тверь, 170100</w:t>
                        <w:br/>
                        <w:t>тел. (4822) 32-08-32</w:t>
                      </w:r>
                    </w:p>
                    <w:p>
                      <w:pPr>
                        <w:pStyle w:val="Style2"/>
                        <w:keepNext w:val="0"/>
                        <w:keepLines w:val="0"/>
                        <w:widowControl w:val="0"/>
                        <w:shd w:val="clear" w:color="auto" w:fill="auto"/>
                        <w:bidi w:val="0"/>
                        <w:spacing w:before="0" w:after="40"/>
                        <w:ind w:left="0" w:right="0" w:firstLine="0"/>
                        <w:jc w:val="center"/>
                      </w:pPr>
                      <w:r>
                        <w:rPr>
                          <w:spacing w:val="0"/>
                          <w:w w:val="100"/>
                          <w:position w:val="0"/>
                          <w:shd w:val="clear" w:color="auto" w:fill="auto"/>
                          <w:lang w:val="ru-RU" w:eastAsia="ru-RU" w:bidi="ru-RU"/>
                        </w:rPr>
                        <w:t>е-тай: 1о69@Га5.{»оу.ги</w:t>
                      </w:r>
                    </w:p>
                    <w:p>
                      <w:pPr>
                        <w:pStyle w:val="Style7"/>
                        <w:keepNext w:val="0"/>
                        <w:keepLines w:val="0"/>
                        <w:widowControl w:val="0"/>
                        <w:shd w:val="clear" w:color="auto" w:fill="auto"/>
                        <w:bidi w:val="0"/>
                        <w:spacing w:before="0" w:line="240" w:lineRule="auto"/>
                        <w:ind w:left="0" w:right="0"/>
                        <w:jc w:val="left"/>
                      </w:pPr>
                      <w:r>
                        <w:fldChar w:fldCharType="begin"/>
                      </w:r>
                      <w:r>
                        <w:rPr/>
                        <w:instrText> HYPERLINK "file://f207ca94-a13c-4ba0-b72d-f018c9eed8f1/" </w:instrText>
                      </w:r>
                      <w:r>
                        <w:fldChar w:fldCharType="separate"/>
                      </w:r>
                      <w:r>
                        <w:rPr>
                          <w:color w:val="000000"/>
                          <w:spacing w:val="0"/>
                          <w:w w:val="100"/>
                          <w:position w:val="0"/>
                          <w:shd w:val="clear" w:color="auto" w:fill="auto"/>
                          <w:lang w:val="ru-RU" w:eastAsia="ru-RU" w:bidi="ru-RU"/>
                        </w:rPr>
                        <w:t>28.01.2025</w:t>
                      </w:r>
                      <w:r>
                        <w:fldChar w:fldCharType="end"/>
                      </w:r>
                      <w:r>
                        <w:rPr>
                          <w:color w:val="000000"/>
                          <w:spacing w:val="0"/>
                          <w:w w:val="100"/>
                          <w:position w:val="0"/>
                          <w:u w:val="none"/>
                          <w:shd w:val="clear" w:color="auto" w:fill="auto"/>
                          <w:lang w:val="ru-RU" w:eastAsia="ru-RU" w:bidi="ru-RU"/>
                        </w:rPr>
                        <w:t xml:space="preserve"> К</w:t>
                      </w:r>
                      <w:r>
                        <w:rPr>
                          <w:color w:val="000000"/>
                          <w:spacing w:val="0"/>
                          <w:w w:val="100"/>
                          <w:position w:val="0"/>
                          <w:shd w:val="clear" w:color="auto" w:fill="auto"/>
                          <w:lang w:val="ru-RU" w:eastAsia="ru-RU" w:bidi="ru-RU"/>
                        </w:rPr>
                        <w:t>» 703/25</w:t>
                      </w:r>
                    </w:p>
                    <w:p>
                      <w:pPr>
                        <w:pStyle w:val="Style5"/>
                        <w:keepNext w:val="0"/>
                        <w:keepLines w:val="0"/>
                        <w:widowControl w:val="0"/>
                        <w:shd w:val="clear" w:color="auto" w:fill="auto"/>
                        <w:bidi w:val="0"/>
                        <w:spacing w:before="0" w:after="620" w:line="264" w:lineRule="auto"/>
                        <w:ind w:left="0" w:right="0" w:firstLine="0"/>
                        <w:jc w:val="left"/>
                        <w:rPr>
                          <w:sz w:val="18"/>
                          <w:szCs w:val="18"/>
                        </w:rPr>
                      </w:pPr>
                      <w:r>
                        <w:rPr>
                          <w:b w:val="0"/>
                          <w:bCs w:val="0"/>
                          <w:spacing w:val="0"/>
                          <w:w w:val="100"/>
                          <w:position w:val="0"/>
                          <w:sz w:val="18"/>
                          <w:szCs w:val="18"/>
                          <w:shd w:val="clear" w:color="auto" w:fill="auto"/>
                          <w:lang w:val="ru-RU" w:eastAsia="ru-RU" w:bidi="ru-RU"/>
                        </w:rPr>
                        <w:t xml:space="preserve">На №  от</w:t>
                      </w:r>
                    </w:p>
                    <w:p>
                      <w:pPr>
                        <w:pStyle w:val="Style11"/>
                        <w:keepNext w:val="0"/>
                        <w:keepLines w:val="0"/>
                        <w:widowControl w:val="0"/>
                        <w:shd w:val="clear" w:color="auto" w:fill="auto"/>
                        <w:bidi w:val="0"/>
                        <w:spacing w:before="0" w:after="16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Решение 069/06/105-79/2025</w:t>
                      </w:r>
                    </w:p>
                  </w:txbxContent>
                </v:textbox>
                <w10:wrap type="square" side="right" anchorx="page"/>
              </v:shape>
            </w:pict>
          </mc:Fallback>
        </mc:AlternateContent>
      </w:r>
      <w:r>
        <w:rPr>
          <w:color w:val="000000"/>
          <w:spacing w:val="0"/>
          <w:w w:val="100"/>
          <w:position w:val="0"/>
          <w:shd w:val="clear" w:color="auto" w:fill="auto"/>
          <w:lang w:val="ru-RU" w:eastAsia="ru-RU" w:bidi="ru-RU"/>
        </w:rPr>
        <w:t>Заказчик:</w:t>
      </w:r>
    </w:p>
    <w:p>
      <w:pPr>
        <w:pStyle w:val="Style11"/>
        <w:keepNext w:val="0"/>
        <w:keepLines w:val="0"/>
        <w:widowControl w:val="0"/>
        <w:shd w:val="clear" w:color="auto" w:fill="auto"/>
        <w:bidi w:val="0"/>
        <w:spacing w:before="0" w:after="0" w:line="240" w:lineRule="auto"/>
        <w:ind w:left="1040" w:right="0" w:firstLine="0"/>
        <w:jc w:val="left"/>
      </w:pPr>
      <w:r>
        <w:rPr>
          <w:color w:val="000000"/>
          <w:spacing w:val="0"/>
          <w:w w:val="100"/>
          <w:position w:val="0"/>
          <w:shd w:val="clear" w:color="auto" w:fill="auto"/>
          <w:lang w:val="ru-RU" w:eastAsia="ru-RU" w:bidi="ru-RU"/>
        </w:rPr>
        <w:t>Общество с ограниченной</w:t>
      </w:r>
    </w:p>
    <w:p>
      <w:pPr>
        <w:pStyle w:val="Style11"/>
        <w:keepNext w:val="0"/>
        <w:keepLines w:val="0"/>
        <w:widowControl w:val="0"/>
        <w:shd w:val="clear" w:color="auto" w:fill="auto"/>
        <w:bidi w:val="0"/>
        <w:spacing w:before="0" w:after="0" w:line="240" w:lineRule="auto"/>
        <w:ind w:left="1040" w:right="0" w:firstLine="0"/>
        <w:jc w:val="left"/>
      </w:pPr>
      <w:r>
        <w:rPr>
          <w:color w:val="000000"/>
          <w:spacing w:val="0"/>
          <w:w w:val="100"/>
          <w:position w:val="0"/>
          <w:shd w:val="clear" w:color="auto" w:fill="auto"/>
          <w:lang w:val="ru-RU" w:eastAsia="ru-RU" w:bidi="ru-RU"/>
        </w:rPr>
        <w:t>ответственностью «Объединенные</w:t>
      </w:r>
    </w:p>
    <w:p>
      <w:pPr>
        <w:pStyle w:val="Style11"/>
        <w:keepNext w:val="0"/>
        <w:keepLines w:val="0"/>
        <w:widowControl w:val="0"/>
        <w:shd w:val="clear" w:color="auto" w:fill="auto"/>
        <w:bidi w:val="0"/>
        <w:spacing w:before="0" w:after="0" w:line="240" w:lineRule="auto"/>
        <w:ind w:left="1040" w:right="0" w:firstLine="0"/>
        <w:jc w:val="left"/>
      </w:pPr>
      <w:r>
        <w:rPr>
          <w:color w:val="000000"/>
          <w:spacing w:val="0"/>
          <w:w w:val="100"/>
          <w:position w:val="0"/>
          <w:shd w:val="clear" w:color="auto" w:fill="auto"/>
          <w:lang w:val="ru-RU" w:eastAsia="ru-RU" w:bidi="ru-RU"/>
        </w:rPr>
        <w:t>энергетические системы Тверской области»</w:t>
      </w:r>
    </w:p>
    <w:p>
      <w:pPr>
        <w:pStyle w:val="Style11"/>
        <w:keepNext w:val="0"/>
        <w:keepLines w:val="0"/>
        <w:widowControl w:val="0"/>
        <w:shd w:val="clear" w:color="auto" w:fill="auto"/>
        <w:bidi w:val="0"/>
        <w:spacing w:before="0" w:after="0" w:line="240" w:lineRule="auto"/>
        <w:ind w:left="1040" w:right="0" w:firstLine="0"/>
        <w:jc w:val="left"/>
      </w:pPr>
      <w:r>
        <w:rPr>
          <w:color w:val="000000"/>
          <w:spacing w:val="0"/>
          <w:w w:val="100"/>
          <w:position w:val="0"/>
          <w:shd w:val="clear" w:color="auto" w:fill="auto"/>
          <w:lang w:val="ru-RU" w:eastAsia="ru-RU" w:bidi="ru-RU"/>
        </w:rPr>
        <w:t>е-та1: ое8@ое8-1уег.ги</w:t>
      </w:r>
    </w:p>
    <w:p>
      <w:pPr>
        <w:pStyle w:val="Style11"/>
        <w:keepNext w:val="0"/>
        <w:keepLines w:val="0"/>
        <w:widowControl w:val="0"/>
        <w:shd w:val="clear" w:color="auto" w:fill="auto"/>
        <w:bidi w:val="0"/>
        <w:spacing w:before="0" w:after="0" w:line="240" w:lineRule="auto"/>
        <w:ind w:left="1040" w:right="0" w:firstLine="0"/>
        <w:jc w:val="left"/>
      </w:pPr>
      <w:r>
        <w:rPr>
          <w:color w:val="000000"/>
          <w:spacing w:val="0"/>
          <w:w w:val="100"/>
          <w:position w:val="0"/>
          <w:shd w:val="clear" w:color="auto" w:fill="auto"/>
          <w:lang w:val="ru-RU" w:eastAsia="ru-RU" w:bidi="ru-RU"/>
        </w:rPr>
        <w:t>до1иЪеуа.2акирИ@таП.ги</w:t>
      </w:r>
    </w:p>
    <w:p>
      <w:pPr>
        <w:pStyle w:val="Style11"/>
        <w:keepNext w:val="0"/>
        <w:keepLines w:val="0"/>
        <w:widowControl w:val="0"/>
        <w:shd w:val="clear" w:color="auto" w:fill="auto"/>
        <w:bidi w:val="0"/>
        <w:spacing w:before="0" w:after="260" w:line="240" w:lineRule="auto"/>
        <w:ind w:left="1040" w:right="0" w:firstLine="0"/>
        <w:jc w:val="left"/>
      </w:pPr>
      <w:r>
        <w:rPr>
          <w:color w:val="000000"/>
          <w:spacing w:val="0"/>
          <w:w w:val="100"/>
          <w:position w:val="0"/>
          <w:shd w:val="clear" w:color="auto" w:fill="auto"/>
          <w:lang w:val="ru-RU" w:eastAsia="ru-RU" w:bidi="ru-RU"/>
        </w:rPr>
        <w:t>уна81:кеукк@гдк-1уег.ги</w:t>
      </w:r>
    </w:p>
    <w:p>
      <w:pPr>
        <w:pStyle w:val="Style11"/>
        <w:keepNext w:val="0"/>
        <w:keepLines w:val="0"/>
        <w:widowControl w:val="0"/>
        <w:shd w:val="clear" w:color="auto" w:fill="auto"/>
        <w:bidi w:val="0"/>
        <w:spacing w:before="0" w:after="0" w:line="240" w:lineRule="auto"/>
        <w:ind w:left="1040" w:right="0" w:firstLine="0"/>
        <w:jc w:val="left"/>
      </w:pPr>
      <w:r>
        <w:rPr>
          <w:color w:val="000000"/>
          <w:spacing w:val="0"/>
          <w:w w:val="100"/>
          <w:position w:val="0"/>
          <w:shd w:val="clear" w:color="auto" w:fill="auto"/>
          <w:lang w:val="ru-RU" w:eastAsia="ru-RU" w:bidi="ru-RU"/>
        </w:rPr>
        <w:t>Уполномоченный орган:</w:t>
      </w:r>
    </w:p>
    <w:p>
      <w:pPr>
        <w:pStyle w:val="Style11"/>
        <w:keepNext w:val="0"/>
        <w:keepLines w:val="0"/>
        <w:widowControl w:val="0"/>
        <w:shd w:val="clear" w:color="auto" w:fill="auto"/>
        <w:bidi w:val="0"/>
        <w:spacing w:before="0" w:after="0" w:line="240" w:lineRule="auto"/>
        <w:ind w:left="1040" w:right="0" w:firstLine="0"/>
        <w:jc w:val="left"/>
      </w:pPr>
      <w:r>
        <w:rPr>
          <w:color w:val="000000"/>
          <w:spacing w:val="0"/>
          <w:w w:val="100"/>
          <w:position w:val="0"/>
          <w:shd w:val="clear" w:color="auto" w:fill="auto"/>
          <w:lang w:val="ru-RU" w:eastAsia="ru-RU" w:bidi="ru-RU"/>
        </w:rPr>
        <w:t>Комитет государственного заказа Тверской области</w:t>
      </w:r>
    </w:p>
    <w:p>
      <w:pPr>
        <w:pStyle w:val="Style11"/>
        <w:keepNext w:val="0"/>
        <w:keepLines w:val="0"/>
        <w:widowControl w:val="0"/>
        <w:shd w:val="clear" w:color="auto" w:fill="auto"/>
        <w:bidi w:val="0"/>
        <w:spacing w:before="0" w:after="260" w:line="240" w:lineRule="auto"/>
        <w:ind w:left="1040" w:right="0" w:firstLine="0"/>
        <w:jc w:val="left"/>
      </w:pPr>
      <w:r>
        <w:rPr>
          <w:color w:val="000000"/>
          <w:spacing w:val="0"/>
          <w:w w:val="100"/>
          <w:position w:val="0"/>
          <w:shd w:val="clear" w:color="auto" w:fill="auto"/>
          <w:lang w:val="ru-RU" w:eastAsia="ru-RU" w:bidi="ru-RU"/>
        </w:rPr>
        <w:t>е-та1: кот_до8хакаха@1^еггед.ги</w:t>
      </w:r>
    </w:p>
    <w:p>
      <w:pPr>
        <w:pStyle w:val="Style11"/>
        <w:keepNext w:val="0"/>
        <w:keepLines w:val="0"/>
        <w:widowControl w:val="0"/>
        <w:shd w:val="clear" w:color="auto" w:fill="auto"/>
        <w:bidi w:val="0"/>
        <w:spacing w:before="0" w:after="0" w:line="240" w:lineRule="auto"/>
        <w:ind w:left="1040" w:right="0" w:firstLine="0"/>
        <w:jc w:val="left"/>
      </w:pPr>
      <w:r>
        <w:rPr>
          <w:color w:val="000000"/>
          <w:spacing w:val="0"/>
          <w:w w:val="100"/>
          <w:position w:val="0"/>
          <w:shd w:val="clear" w:color="auto" w:fill="auto"/>
          <w:lang w:val="ru-RU" w:eastAsia="ru-RU" w:bidi="ru-RU"/>
        </w:rPr>
        <w:t>Заявитель:</w:t>
      </w:r>
    </w:p>
    <w:p>
      <w:pPr>
        <w:pStyle w:val="Style11"/>
        <w:keepNext w:val="0"/>
        <w:keepLines w:val="0"/>
        <w:widowControl w:val="0"/>
        <w:shd w:val="clear" w:color="auto" w:fill="auto"/>
        <w:bidi w:val="0"/>
        <w:spacing w:before="0" w:after="0" w:line="240" w:lineRule="auto"/>
        <w:ind w:left="5320" w:right="0" w:firstLine="0"/>
        <w:jc w:val="left"/>
      </w:pPr>
      <w:r>
        <w:rPr>
          <w:color w:val="000000"/>
          <w:spacing w:val="0"/>
          <w:w w:val="100"/>
          <w:position w:val="0"/>
          <w:shd w:val="clear" w:color="auto" w:fill="auto"/>
          <w:lang w:val="ru-RU" w:eastAsia="ru-RU" w:bidi="ru-RU"/>
        </w:rPr>
        <w:t>ООО «Пегас ЭКО»</w:t>
      </w:r>
    </w:p>
    <w:p>
      <w:pPr>
        <w:pStyle w:val="Style11"/>
        <w:keepNext w:val="0"/>
        <w:keepLines w:val="0"/>
        <w:widowControl w:val="0"/>
        <w:shd w:val="clear" w:color="auto" w:fill="auto"/>
        <w:bidi w:val="0"/>
        <w:spacing w:before="0" w:after="260" w:line="240" w:lineRule="auto"/>
        <w:ind w:left="5320" w:right="0" w:firstLine="0"/>
        <w:jc w:val="left"/>
      </w:pPr>
      <w:r>
        <w:rPr>
          <w:color w:val="000000"/>
          <w:spacing w:val="0"/>
          <w:w w:val="100"/>
          <w:position w:val="0"/>
          <w:shd w:val="clear" w:color="auto" w:fill="auto"/>
          <w:lang w:val="ru-RU" w:eastAsia="ru-RU" w:bidi="ru-RU"/>
        </w:rPr>
        <w:t>е-та1: т!о@р-есо.ги, егкупт@дтаП.сот</w:t>
      </w:r>
    </w:p>
    <w:p>
      <w:pPr>
        <w:pStyle w:val="Style11"/>
        <w:keepNext w:val="0"/>
        <w:keepLines w:val="0"/>
        <w:widowControl w:val="0"/>
        <w:shd w:val="clear" w:color="auto" w:fill="auto"/>
        <w:bidi w:val="0"/>
        <w:spacing w:before="0" w:after="0" w:line="240" w:lineRule="auto"/>
        <w:ind w:left="5320" w:right="0" w:firstLine="0"/>
        <w:jc w:val="left"/>
      </w:pPr>
      <w:r>
        <w:rPr>
          <w:color w:val="000000"/>
          <w:spacing w:val="0"/>
          <w:w w:val="100"/>
          <w:position w:val="0"/>
          <w:shd w:val="clear" w:color="auto" w:fill="auto"/>
          <w:lang w:val="ru-RU" w:eastAsia="ru-RU" w:bidi="ru-RU"/>
        </w:rPr>
        <w:t>Оператор электронной площадки:</w:t>
      </w:r>
    </w:p>
    <w:p>
      <w:pPr>
        <w:pStyle w:val="Style11"/>
        <w:keepNext w:val="0"/>
        <w:keepLines w:val="0"/>
        <w:widowControl w:val="0"/>
        <w:shd w:val="clear" w:color="auto" w:fill="auto"/>
        <w:bidi w:val="0"/>
        <w:spacing w:before="0" w:after="0" w:line="240" w:lineRule="auto"/>
        <w:ind w:left="5320" w:right="0" w:firstLine="0"/>
        <w:jc w:val="left"/>
      </w:pPr>
      <w:r>
        <w:rPr>
          <w:color w:val="000000"/>
          <w:spacing w:val="0"/>
          <w:w w:val="100"/>
          <w:position w:val="0"/>
          <w:shd w:val="clear" w:color="auto" w:fill="auto"/>
          <w:lang w:val="ru-RU" w:eastAsia="ru-RU" w:bidi="ru-RU"/>
        </w:rPr>
        <w:t>АО «Сбербанк - АСТ»</w:t>
      </w:r>
    </w:p>
    <w:p>
      <w:pPr>
        <w:pStyle w:val="Style11"/>
        <w:keepNext w:val="0"/>
        <w:keepLines w:val="0"/>
        <w:widowControl w:val="0"/>
        <w:shd w:val="clear" w:color="auto" w:fill="auto"/>
        <w:bidi w:val="0"/>
        <w:spacing w:before="0" w:after="560" w:line="240" w:lineRule="auto"/>
        <w:ind w:left="5320" w:right="0" w:firstLine="0"/>
        <w:jc w:val="left"/>
      </w:pPr>
      <w:r>
        <w:rPr>
          <w:color w:val="000000"/>
          <w:spacing w:val="0"/>
          <w:w w:val="100"/>
          <w:position w:val="0"/>
          <w:shd w:val="clear" w:color="auto" w:fill="auto"/>
          <w:lang w:val="ru-RU" w:eastAsia="ru-RU" w:bidi="ru-RU"/>
        </w:rPr>
        <w:t>е-та1: ко@8ЪегЪапк-а81:.ги, т1о@8ЪегЪапк- а81.ги</w:t>
      </w:r>
    </w:p>
    <w:p>
      <w:pPr>
        <w:pStyle w:val="Style11"/>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ru-RU" w:eastAsia="ru-RU" w:bidi="ru-RU"/>
        </w:rPr>
        <w:t>Р Е Ш Е Н И Е</w:t>
      </w:r>
    </w:p>
    <w:p>
      <w:pPr>
        <w:pStyle w:val="Style11"/>
        <w:keepNext w:val="0"/>
        <w:keepLines w:val="0"/>
        <w:widowControl w:val="0"/>
        <w:shd w:val="clear" w:color="auto" w:fill="auto"/>
        <w:bidi w:val="0"/>
        <w:spacing w:before="0" w:after="260" w:line="240" w:lineRule="auto"/>
        <w:ind w:left="0" w:right="0" w:firstLine="0"/>
        <w:jc w:val="center"/>
      </w:pPr>
      <w:r>
        <w:rPr>
          <w:b/>
          <w:bCs/>
          <w:color w:val="000000"/>
          <w:spacing w:val="0"/>
          <w:w w:val="100"/>
          <w:position w:val="0"/>
          <w:shd w:val="clear" w:color="auto" w:fill="auto"/>
          <w:lang w:val="ru-RU" w:eastAsia="ru-RU" w:bidi="ru-RU"/>
        </w:rPr>
        <w:t>по делу № 069/06/105-79/2025 о рассмотрении жалобы на нарушение</w:t>
        <w:br/>
        <w:t>законодательства о контрактной системе</w:t>
      </w:r>
    </w:p>
    <w:p>
      <w:pPr>
        <w:pStyle w:val="Style11"/>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u-RU" w:eastAsia="ru-RU" w:bidi="ru-RU"/>
        </w:rPr>
        <w:t>Резолютивная часть решения оглашена «23» января 2025 г.</w:t>
      </w:r>
    </w:p>
    <w:p>
      <w:pPr>
        <w:pStyle w:val="Style11"/>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u-RU" w:eastAsia="ru-RU" w:bidi="ru-RU"/>
        </w:rPr>
        <w:t>В полном объеме решение изготовлено «28» января 2025 г.</w:t>
      </w:r>
    </w:p>
    <w:p>
      <w:pPr>
        <w:pStyle w:val="Style11"/>
        <w:keepNext w:val="0"/>
        <w:keepLines w:val="0"/>
        <w:widowControl w:val="0"/>
        <w:shd w:val="clear" w:color="auto" w:fill="auto"/>
        <w:bidi w:val="0"/>
        <w:spacing w:before="0" w:after="260" w:line="240" w:lineRule="auto"/>
        <w:ind w:left="0" w:right="0" w:firstLine="0"/>
        <w:jc w:val="both"/>
      </w:pPr>
      <w:r>
        <w:rPr>
          <w:color w:val="000000"/>
          <w:spacing w:val="0"/>
          <w:w w:val="100"/>
          <w:position w:val="0"/>
          <w:shd w:val="clear" w:color="auto" w:fill="auto"/>
          <w:lang w:val="ru-RU" w:eastAsia="ru-RU" w:bidi="ru-RU"/>
        </w:rPr>
        <w:t>г. Тверь</w:t>
      </w:r>
    </w:p>
    <w:p>
      <w:pPr>
        <w:pStyle w:val="Style11"/>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Комиссия Управления Федеральной антимонопольной службы по Тверской области по контролю в сфере закупок (далее - Комиссия, Тверское УФАС России) в следующем составе:</w:t>
      </w:r>
    </w:p>
    <w:p>
      <w:pPr>
        <w:pStyle w:val="Style11"/>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председатель Комиссии:</w:t>
      </w:r>
    </w:p>
    <w:p>
      <w:pPr>
        <w:pStyle w:val="Style11"/>
        <w:keepNext w:val="0"/>
        <w:keepLines w:val="0"/>
        <w:widowControl w:val="0"/>
        <w:shd w:val="clear" w:color="auto" w:fill="auto"/>
        <w:bidi w:val="0"/>
        <w:spacing w:before="0" w:after="0" w:line="240" w:lineRule="auto"/>
        <w:ind w:left="720" w:right="0" w:firstLine="0"/>
        <w:jc w:val="both"/>
      </w:pPr>
      <w:r>
        <w:rPr>
          <w:color w:val="000000"/>
          <w:spacing w:val="0"/>
          <w:w w:val="100"/>
          <w:position w:val="0"/>
          <w:shd w:val="clear" w:color="auto" w:fill="auto"/>
          <w:lang w:val="ru-RU" w:eastAsia="ru-RU" w:bidi="ru-RU"/>
        </w:rPr>
        <w:t>Винницкая П.Д. - заместитель начальника отдела контроля закупок, члены Комиссии:</w:t>
      </w:r>
    </w:p>
    <w:p>
      <w:pPr>
        <w:pStyle w:val="Style11"/>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Федотова М.В. - специалист-эксперт отдела контроля закупок,</w:t>
      </w:r>
    </w:p>
    <w:p>
      <w:pPr>
        <w:pStyle w:val="Style11"/>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Дьяконов В.А. - специалист 1 разряда отдела контроля закупок,</w:t>
      </w:r>
    </w:p>
    <w:p>
      <w:pPr>
        <w:pStyle w:val="Style11"/>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при участии посредством видеоконференц-связи представителя Комитета государственного заказа Тверской области (далее - Уполномоченный орган): Заикиной Н.М. (по доверенности),</w:t>
      </w:r>
    </w:p>
    <w:p>
      <w:pPr>
        <w:pStyle w:val="Style11"/>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отсутствие представителей:</w:t>
      </w:r>
    </w:p>
    <w:p>
      <w:pPr>
        <w:pStyle w:val="Style11"/>
        <w:keepNext w:val="0"/>
        <w:keepLines w:val="0"/>
        <w:widowControl w:val="0"/>
        <w:shd w:val="clear" w:color="auto" w:fill="auto"/>
        <w:bidi w:val="0"/>
        <w:spacing w:before="0" w:after="260" w:line="240" w:lineRule="auto"/>
        <w:ind w:left="0" w:right="0" w:firstLine="720"/>
        <w:jc w:val="both"/>
      </w:pPr>
      <w:r>
        <w:rPr>
          <w:color w:val="000000"/>
          <w:spacing w:val="0"/>
          <w:w w:val="100"/>
          <w:position w:val="0"/>
          <w:shd w:val="clear" w:color="auto" w:fill="auto"/>
          <w:lang w:val="ru-RU" w:eastAsia="ru-RU" w:bidi="ru-RU"/>
        </w:rPr>
        <w:t>ООО «Объединенные энергетические системы Тверской области» (далее - Заказчик),</w:t>
      </w:r>
    </w:p>
    <w:p>
      <w:pPr>
        <w:widowControl w:val="0"/>
        <w:spacing w:line="1" w:lineRule="exact"/>
        <w:sectPr>
          <w:footerReference w:type="default" r:id="rId5"/>
          <w:footnotePr>
            <w:pos w:val="pageBottom"/>
            <w:numFmt w:val="decimal"/>
            <w:numRestart w:val="continuous"/>
          </w:footnotePr>
          <w:pgSz w:w="11900" w:h="16840"/>
          <w:pgMar w:top="1162" w:right="541" w:bottom="1312" w:left="1111" w:header="734" w:footer="3" w:gutter="0"/>
          <w:pgNumType w:start="1"/>
          <w:cols w:space="720"/>
          <w:noEndnote/>
          <w:rtlGutter w:val="0"/>
          <w:docGrid w:linePitch="360"/>
        </w:sectPr>
      </w:pPr>
      <w:r>
        <w:drawing>
          <wp:anchor distT="50800" distB="0" distL="0" distR="0" simplePos="0" relativeHeight="125829380" behindDoc="0" locked="0" layoutInCell="1" allowOverlap="1">
            <wp:simplePos x="0" y="0"/>
            <wp:positionH relativeFrom="page">
              <wp:posOffset>714375</wp:posOffset>
            </wp:positionH>
            <wp:positionV relativeFrom="paragraph">
              <wp:posOffset>50800</wp:posOffset>
            </wp:positionV>
            <wp:extent cx="1517650" cy="292735"/>
            <wp:wrapTopAndBottom/>
            <wp:docPr id="5" name="Shape 5"/>
            <a:graphic xmlns:a="http://schemas.openxmlformats.org/drawingml/2006/main">
              <a:graphicData uri="http://schemas.openxmlformats.org/drawingml/2006/picture">
                <pic:pic xmlns:pic="http://schemas.openxmlformats.org/drawingml/2006/picture">
                  <pic:nvPicPr>
                    <pic:cNvPr id="6" name="Picture box 6"/>
                    <pic:cNvPicPr/>
                  </pic:nvPicPr>
                  <pic:blipFill>
                    <a:blip r:embed="rId6"/>
                    <a:stretch/>
                  </pic:blipFill>
                  <pic:spPr>
                    <a:xfrm>
                      <a:ext cx="1517650" cy="292735"/>
                    </a:xfrm>
                    <a:prstGeom prst="rect"/>
                  </pic:spPr>
                </pic:pic>
              </a:graphicData>
            </a:graphic>
          </wp:anchor>
        </w:drawing>
      </w:r>
    </w:p>
    <w:p>
      <w:pPr>
        <w:pStyle w:val="Style11"/>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ООО «Пегас ЭКО» (далее - Заявитель),</w:t>
      </w:r>
    </w:p>
    <w:p>
      <w:pPr>
        <w:pStyle w:val="Style11"/>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рассмотрев посредством системы видеоконференц-связи жалобу Заявителя на действия Заказчика, при проведении открытого конкурса в электронной форме на право выполнения работ по подготовке проектной документации и выполнение инженерных изысканий, выполнение работ по строительству объекта: «Блочно-модульная газовая котельная по адресу: Тверская обл., г. Нелидово, ул. Мира» (номер извещения в единой информационной системе в сфере закупок \у\у\у./акирк1.доу.ги (далее - ЕИС) - № 0136500001124007689) (далее - Закупка, Конкурс),</w:t>
      </w:r>
    </w:p>
    <w:p>
      <w:pPr>
        <w:pStyle w:val="Style11"/>
        <w:keepNext w:val="0"/>
        <w:keepLines w:val="0"/>
        <w:widowControl w:val="0"/>
        <w:shd w:val="clear" w:color="auto" w:fill="auto"/>
        <w:bidi w:val="0"/>
        <w:spacing w:before="0" w:after="560" w:line="240" w:lineRule="auto"/>
        <w:ind w:left="0" w:right="0" w:firstLine="720"/>
        <w:jc w:val="both"/>
      </w:pPr>
      <w:r>
        <w:rPr>
          <w:color w:val="000000"/>
          <w:spacing w:val="0"/>
          <w:w w:val="100"/>
          <w:position w:val="0"/>
          <w:shd w:val="clear" w:color="auto" w:fill="auto"/>
          <w:lang w:val="ru-RU" w:eastAsia="ru-RU" w:bidi="ru-RU"/>
        </w:rPr>
        <w:t>и проведя в соответствии с пунктом 1 части 15 статьи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внеплановую проверку,</w:t>
      </w:r>
    </w:p>
    <w:p>
      <w:pPr>
        <w:pStyle w:val="Style11"/>
        <w:keepNext w:val="0"/>
        <w:keepLines w:val="0"/>
        <w:widowControl w:val="0"/>
        <w:shd w:val="clear" w:color="auto" w:fill="auto"/>
        <w:bidi w:val="0"/>
        <w:spacing w:before="0" w:after="260" w:line="240" w:lineRule="auto"/>
        <w:ind w:left="0" w:right="0" w:firstLine="0"/>
        <w:jc w:val="center"/>
      </w:pPr>
      <w:r>
        <w:rPr>
          <w:color w:val="000000"/>
          <w:spacing w:val="0"/>
          <w:w w:val="100"/>
          <w:position w:val="0"/>
          <w:shd w:val="clear" w:color="auto" w:fill="auto"/>
          <w:lang w:val="ru-RU" w:eastAsia="ru-RU" w:bidi="ru-RU"/>
        </w:rPr>
        <w:t>УСТАНОВИЛА:</w:t>
      </w:r>
    </w:p>
    <w:p>
      <w:pPr>
        <w:pStyle w:val="Style11"/>
        <w:keepNext w:val="0"/>
        <w:keepLines w:val="0"/>
        <w:widowControl w:val="0"/>
        <w:shd w:val="clear" w:color="auto" w:fill="auto"/>
        <w:bidi w:val="0"/>
        <w:spacing w:before="0" w:after="260" w:line="240" w:lineRule="auto"/>
        <w:ind w:left="0" w:right="0" w:firstLine="720"/>
        <w:jc w:val="both"/>
      </w:pPr>
      <w:r>
        <w:rPr>
          <w:color w:val="000000"/>
          <w:spacing w:val="0"/>
          <w:w w:val="100"/>
          <w:position w:val="0"/>
          <w:shd w:val="clear" w:color="auto" w:fill="auto"/>
          <w:lang w:val="ru-RU" w:eastAsia="ru-RU" w:bidi="ru-RU"/>
        </w:rPr>
        <w:t>В Тверское УФАС России 17.01.2025 поступила жалоба Заявителя на действия (бездействия) Заказчика, Уполномоченного органа при проведении Конкурса.</w:t>
      </w:r>
    </w:p>
    <w:p>
      <w:pPr>
        <w:pStyle w:val="Style11"/>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Согласно доводам жалобы:</w:t>
      </w:r>
    </w:p>
    <w:p>
      <w:pPr>
        <w:pStyle w:val="Style11"/>
        <w:keepNext w:val="0"/>
        <w:keepLines w:val="0"/>
        <w:widowControl w:val="0"/>
        <w:numPr>
          <w:ilvl w:val="0"/>
          <w:numId w:val="1"/>
        </w:numPr>
        <w:shd w:val="clear" w:color="auto" w:fill="auto"/>
        <w:tabs>
          <w:tab w:pos="1598"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Заказчиком, Уполномоченным органом в извещении об осуществлении Конкурса неправомерно установлены дополнительные требования к выполнению работ, ограничивающие количество участников закупки;</w:t>
      </w:r>
    </w:p>
    <w:p>
      <w:pPr>
        <w:pStyle w:val="Style11"/>
        <w:keepNext w:val="0"/>
        <w:keepLines w:val="0"/>
        <w:widowControl w:val="0"/>
        <w:numPr>
          <w:ilvl w:val="0"/>
          <w:numId w:val="1"/>
        </w:numPr>
        <w:shd w:val="clear" w:color="auto" w:fill="auto"/>
        <w:tabs>
          <w:tab w:pos="1598"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Заказчиком, Уполномоченным органом в извещении об осуществлении Конкурса неправомерно установлены противоречивые требования к участникам закупки о наличии у участников закупки членства саморегулируемой организации (далее - СРО);</w:t>
      </w:r>
    </w:p>
    <w:p>
      <w:pPr>
        <w:pStyle w:val="Style11"/>
        <w:keepNext w:val="0"/>
        <w:keepLines w:val="0"/>
        <w:widowControl w:val="0"/>
        <w:numPr>
          <w:ilvl w:val="0"/>
          <w:numId w:val="1"/>
        </w:numPr>
        <w:shd w:val="clear" w:color="auto" w:fill="auto"/>
        <w:tabs>
          <w:tab w:pos="1598" w:val="left"/>
        </w:tabs>
        <w:bidi w:val="0"/>
        <w:spacing w:before="0" w:after="260" w:line="240" w:lineRule="auto"/>
        <w:ind w:left="0" w:right="0" w:firstLine="720"/>
        <w:jc w:val="both"/>
      </w:pPr>
      <w:r>
        <w:rPr>
          <w:color w:val="000000"/>
          <w:spacing w:val="0"/>
          <w:w w:val="100"/>
          <w:position w:val="0"/>
          <w:shd w:val="clear" w:color="auto" w:fill="auto"/>
          <w:lang w:val="ru-RU" w:eastAsia="ru-RU" w:bidi="ru-RU"/>
        </w:rPr>
        <w:t>Заказчиком, Уполномоченным органом ненадлежащим образом установлен порядок рассмотрения и оценки заявок на участие в Конкурсе.</w:t>
      </w:r>
    </w:p>
    <w:p>
      <w:pPr>
        <w:pStyle w:val="Style11"/>
        <w:keepNext w:val="0"/>
        <w:keepLines w:val="0"/>
        <w:widowControl w:val="0"/>
        <w:shd w:val="clear" w:color="auto" w:fill="auto"/>
        <w:bidi w:val="0"/>
        <w:spacing w:before="0" w:after="260" w:line="240" w:lineRule="auto"/>
        <w:ind w:left="0" w:right="0" w:firstLine="720"/>
        <w:jc w:val="both"/>
      </w:pPr>
      <w:r>
        <w:rPr>
          <w:color w:val="000000"/>
          <w:spacing w:val="0"/>
          <w:w w:val="100"/>
          <w:position w:val="0"/>
          <w:shd w:val="clear" w:color="auto" w:fill="auto"/>
          <w:lang w:val="ru-RU" w:eastAsia="ru-RU" w:bidi="ru-RU"/>
        </w:rPr>
        <w:t>Заказчик, Уполномоченный орган представили возражения, с доводами жалобы не согласились.</w:t>
      </w:r>
    </w:p>
    <w:p>
      <w:pPr>
        <w:pStyle w:val="Style11"/>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1. Пунктом 12 части 1 статьи 42 Закона о контрактной системе установлено, что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следующую требования, предъявляемые к участникам закупки в соответствии с частью 1 статьи 31 Закона о контрактной системе, требования, предъявляемые к участникам закупки в соответствии с частями 2 и 2.1 (при наличии таких требований) статьи 31 Закона о контрактной системе, и исчерпывающий перечень документов, подтверждающих соответствие участника закупки таким требованиям, а также требование, предъявляемое к участникам закупки в соответствии с частью 1.1 статьи 31 Закона о контрактной системе (при наличии такого требования).</w:t>
      </w:r>
    </w:p>
    <w:p>
      <w:pPr>
        <w:pStyle w:val="Style11"/>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 xml:space="preserve">В соответствии с частью 2 статьи 31 Закона о контрактной системе Правительство Российской Федерации вправе устанавливать к участникам закупок отдельных видов </w:t>
      </w:r>
      <w:r>
        <w:rPr>
          <w:color w:val="000000"/>
          <w:spacing w:val="0"/>
          <w:w w:val="100"/>
          <w:position w:val="0"/>
          <w:shd w:val="clear" w:color="auto" w:fill="auto"/>
          <w:lang w:val="ru-RU" w:eastAsia="ru-RU" w:bidi="ru-RU"/>
        </w:rPr>
        <w:t>товаров, работ, услуг дополнительные требования.</w:t>
      </w:r>
    </w:p>
    <w:p>
      <w:pPr>
        <w:pStyle w:val="Style11"/>
        <w:keepNext w:val="0"/>
        <w:keepLines w:val="0"/>
        <w:widowControl w:val="0"/>
        <w:shd w:val="clear" w:color="auto" w:fill="auto"/>
        <w:bidi w:val="0"/>
        <w:spacing w:before="0" w:after="0" w:line="240" w:lineRule="auto"/>
        <w:ind w:left="0" w:right="0" w:firstLine="760"/>
        <w:jc w:val="both"/>
      </w:pPr>
      <w:r>
        <w:rPr>
          <w:color w:val="000000"/>
          <w:spacing w:val="0"/>
          <w:w w:val="100"/>
          <w:position w:val="0"/>
          <w:shd w:val="clear" w:color="auto" w:fill="auto"/>
          <w:lang w:val="ru-RU" w:eastAsia="ru-RU" w:bidi="ru-RU"/>
        </w:rPr>
        <w:t>Согласно части 4 статьи 31 Закона о контрактной системе, в случае установления Правительством Российской Федерации в соответствии с частью 2 статьи 31 Закона о контрактной системе дополнительных требований к участникам закупок заказчики при определении поставщиков (подрядчиков, исполнителей) обязаны устанавливать такие дополнительные требования.</w:t>
      </w:r>
    </w:p>
    <w:p>
      <w:pPr>
        <w:pStyle w:val="Style11"/>
        <w:keepNext w:val="0"/>
        <w:keepLines w:val="0"/>
        <w:widowControl w:val="0"/>
        <w:shd w:val="clear" w:color="auto" w:fill="auto"/>
        <w:bidi w:val="0"/>
        <w:spacing w:before="0" w:after="0" w:line="240" w:lineRule="auto"/>
        <w:ind w:left="0" w:right="0" w:firstLine="760"/>
        <w:jc w:val="both"/>
      </w:pPr>
      <w:r>
        <w:rPr>
          <w:color w:val="000000"/>
          <w:spacing w:val="0"/>
          <w:w w:val="100"/>
          <w:position w:val="0"/>
          <w:shd w:val="clear" w:color="auto" w:fill="auto"/>
          <w:lang w:val="ru-RU" w:eastAsia="ru-RU" w:bidi="ru-RU"/>
        </w:rPr>
        <w:t>Дополнительные требования, а также перечень документов, подтверждающих соответствие участников закупки таким требованиям, установлены Постановлением № 2571.</w:t>
      </w:r>
    </w:p>
    <w:p>
      <w:pPr>
        <w:pStyle w:val="Style11"/>
        <w:keepNext w:val="0"/>
        <w:keepLines w:val="0"/>
        <w:widowControl w:val="0"/>
        <w:shd w:val="clear" w:color="auto" w:fill="auto"/>
        <w:bidi w:val="0"/>
        <w:spacing w:before="0" w:after="0" w:line="240" w:lineRule="auto"/>
        <w:ind w:left="0" w:right="0" w:firstLine="760"/>
        <w:jc w:val="both"/>
      </w:pPr>
      <w:r>
        <w:rPr>
          <w:color w:val="000000"/>
          <w:spacing w:val="0"/>
          <w:w w:val="100"/>
          <w:position w:val="0"/>
          <w:shd w:val="clear" w:color="auto" w:fill="auto"/>
          <w:lang w:val="ru-RU" w:eastAsia="ru-RU" w:bidi="ru-RU"/>
        </w:rPr>
        <w:t>Позицией 7 приложения к Постановлению № 2571 установлено, что в случае проведения закупки на осуществление работ по строительству, реконструкции объекта капитального строительства, за исключением линейного объекта, необходимо наличие у участника закупки одного из следующих видов опыта выполнения работ:</w:t>
      </w:r>
    </w:p>
    <w:p>
      <w:pPr>
        <w:pStyle w:val="Style11"/>
        <w:keepNext w:val="0"/>
        <w:keepLines w:val="0"/>
        <w:widowControl w:val="0"/>
        <w:shd w:val="clear" w:color="auto" w:fill="auto"/>
        <w:bidi w:val="0"/>
        <w:spacing w:before="0" w:after="0" w:line="240" w:lineRule="auto"/>
        <w:ind w:left="0" w:right="0" w:firstLine="760"/>
        <w:jc w:val="both"/>
      </w:pPr>
      <w:r>
        <w:rPr>
          <w:color w:val="000000"/>
          <w:spacing w:val="0"/>
          <w:w w:val="100"/>
          <w:position w:val="0"/>
          <w:shd w:val="clear" w:color="auto" w:fill="auto"/>
          <w:lang w:val="ru-RU" w:eastAsia="ru-RU" w:bidi="ru-RU"/>
        </w:rPr>
        <w:t>1) опыт исполнения договора строительного подряда, предусматривающего выполнение работ по строительству, реконструкции объекта капитального строительства (за исключением линейного объекта);</w:t>
      </w:r>
    </w:p>
    <w:p>
      <w:pPr>
        <w:pStyle w:val="Style11"/>
        <w:keepNext w:val="0"/>
        <w:keepLines w:val="0"/>
        <w:widowControl w:val="0"/>
        <w:shd w:val="clear" w:color="auto" w:fill="auto"/>
        <w:bidi w:val="0"/>
        <w:spacing w:before="0" w:after="0" w:line="240" w:lineRule="auto"/>
        <w:ind w:left="0" w:right="0" w:firstLine="760"/>
        <w:jc w:val="both"/>
      </w:pPr>
      <w:r>
        <w:rPr>
          <w:color w:val="000000"/>
          <w:spacing w:val="0"/>
          <w:w w:val="100"/>
          <w:position w:val="0"/>
          <w:shd w:val="clear" w:color="auto" w:fill="auto"/>
          <w:lang w:val="ru-RU" w:eastAsia="ru-RU" w:bidi="ru-RU"/>
        </w:rPr>
        <w:t>2) опыт выполнения участником закупки, являющимся застройщиком, работ по строительству, реконструкции объекта капитального строительства (за исключением линейного объекта).</w:t>
      </w:r>
    </w:p>
    <w:p>
      <w:pPr>
        <w:pStyle w:val="Style11"/>
        <w:keepNext w:val="0"/>
        <w:keepLines w:val="0"/>
        <w:widowControl w:val="0"/>
        <w:shd w:val="clear" w:color="auto" w:fill="auto"/>
        <w:bidi w:val="0"/>
        <w:spacing w:before="0" w:after="0" w:line="240" w:lineRule="auto"/>
        <w:ind w:left="0" w:right="0" w:firstLine="760"/>
        <w:jc w:val="both"/>
      </w:pPr>
      <w:r>
        <w:rPr>
          <w:color w:val="000000"/>
          <w:spacing w:val="0"/>
          <w:w w:val="100"/>
          <w:position w:val="0"/>
          <w:shd w:val="clear" w:color="auto" w:fill="auto"/>
          <w:lang w:val="ru-RU" w:eastAsia="ru-RU" w:bidi="ru-RU"/>
        </w:rPr>
        <w:t>В соответствии с Извещением объектом закупки является выполнение работ по подготовке проектной документации и выполнение инженерных изысканий, выполнение работ по строительству объекта: «Блочно-модульная газовая котельная по адресу: Тверская обл., г. Нелидово, ул.Мира».</w:t>
      </w:r>
    </w:p>
    <w:p>
      <w:pPr>
        <w:pStyle w:val="Style11"/>
        <w:keepNext w:val="0"/>
        <w:keepLines w:val="0"/>
        <w:widowControl w:val="0"/>
        <w:shd w:val="clear" w:color="auto" w:fill="auto"/>
        <w:bidi w:val="0"/>
        <w:spacing w:before="0" w:after="0" w:line="240" w:lineRule="auto"/>
        <w:ind w:left="0" w:right="0" w:firstLine="760"/>
        <w:jc w:val="both"/>
      </w:pPr>
      <w:r>
        <w:rPr>
          <w:color w:val="000000"/>
          <w:spacing w:val="0"/>
          <w:w w:val="100"/>
          <w:position w:val="0"/>
          <w:shd w:val="clear" w:color="auto" w:fill="auto"/>
          <w:lang w:val="ru-RU" w:eastAsia="ru-RU" w:bidi="ru-RU"/>
        </w:rPr>
        <w:t>Заявитель в составе жалобы указывает, что блочно-модульная котельная является некапитальным строением и относится к движимому имуществу, поскольку не связана прочно с землей фундаментом, является мобильной и ее перемещение не приносит несоразмерный ущерб ее назначению, таким образом установление Заказчиком, Уполномоченным органом дополнительных требований в соответствии с позицией 7 приложения к Постановлению № 2571 как к работам по строительству, реконструкции объекта капитального строительства, за исключением линейного объекта нарушает положения статьи 42 Закона о контрактной системе.</w:t>
      </w:r>
    </w:p>
    <w:p>
      <w:pPr>
        <w:pStyle w:val="Style11"/>
        <w:keepNext w:val="0"/>
        <w:keepLines w:val="0"/>
        <w:widowControl w:val="0"/>
        <w:shd w:val="clear" w:color="auto" w:fill="auto"/>
        <w:bidi w:val="0"/>
        <w:spacing w:before="0" w:after="0" w:line="240" w:lineRule="auto"/>
        <w:ind w:left="0" w:right="0" w:firstLine="760"/>
        <w:jc w:val="both"/>
      </w:pPr>
      <w:r>
        <w:rPr>
          <w:color w:val="000000"/>
          <w:spacing w:val="0"/>
          <w:w w:val="100"/>
          <w:position w:val="0"/>
          <w:shd w:val="clear" w:color="auto" w:fill="auto"/>
          <w:lang w:val="ru-RU" w:eastAsia="ru-RU" w:bidi="ru-RU"/>
        </w:rPr>
        <w:t>Согласно пояснениям Заказчика, в контракте идет речь именно о строительстве объекта в целом - комплексе работ, а не какой-то его части в отдельности в виде поставки блочномодульной котельной. Результатом работ является объект, поставленный на кадастровый учет, что не может быть отнесено к некапитальному объекту.</w:t>
      </w:r>
    </w:p>
    <w:p>
      <w:pPr>
        <w:pStyle w:val="Style11"/>
        <w:keepNext w:val="0"/>
        <w:keepLines w:val="0"/>
        <w:widowControl w:val="0"/>
        <w:shd w:val="clear" w:color="auto" w:fill="auto"/>
        <w:bidi w:val="0"/>
        <w:spacing w:before="0" w:after="0" w:line="240" w:lineRule="auto"/>
        <w:ind w:left="0" w:right="0" w:firstLine="760"/>
        <w:jc w:val="both"/>
      </w:pPr>
      <w:r>
        <w:rPr>
          <w:color w:val="000000"/>
          <w:spacing w:val="0"/>
          <w:w w:val="100"/>
          <w:position w:val="0"/>
          <w:shd w:val="clear" w:color="auto" w:fill="auto"/>
          <w:lang w:val="ru-RU" w:eastAsia="ru-RU" w:bidi="ru-RU"/>
        </w:rPr>
        <w:t>Уполномоченным органом представлены следующие пояснения:</w:t>
      </w:r>
    </w:p>
    <w:p>
      <w:pPr>
        <w:pStyle w:val="Style11"/>
        <w:keepNext w:val="0"/>
        <w:keepLines w:val="0"/>
        <w:widowControl w:val="0"/>
        <w:shd w:val="clear" w:color="auto" w:fill="auto"/>
        <w:bidi w:val="0"/>
        <w:spacing w:before="0" w:after="0" w:line="240" w:lineRule="auto"/>
        <w:ind w:left="0" w:right="0" w:firstLine="760"/>
        <w:jc w:val="both"/>
      </w:pPr>
      <w:r>
        <w:rPr>
          <w:i/>
          <w:iCs/>
          <w:color w:val="000000"/>
          <w:spacing w:val="0"/>
          <w:w w:val="100"/>
          <w:position w:val="0"/>
          <w:shd w:val="clear" w:color="auto" w:fill="auto"/>
          <w:lang w:val="ru-RU" w:eastAsia="ru-RU" w:bidi="ru-RU"/>
        </w:rPr>
        <w:t>«Правовой статус объекта капитального строительства, перечень этапов и мероприятий, проводимых при реализации проекта по строительству объекта капитального строительства, а также перечень документов, необходимых для реализации каждого из указанных этапов, оценка соответствия зданий и сооружений, основания и условия получения разрешения на строительство и разрешения на ввод объекта в эксплуатацию, основания проведения государственной экспертизы проектной документации и основания и пределы осуществления государственного строительного надзора, определяются законодательством о градостроительной деятельности, в частности Градостроительным кодексом Российской Федерации» (далее - Градостроительный кодекс РФ), Федеральным законом от 30.12.2009 № 384-ФЗ</w:t>
      </w:r>
    </w:p>
    <w:p>
      <w:pPr>
        <w:pStyle w:val="Style11"/>
        <w:keepNext w:val="0"/>
        <w:keepLines w:val="0"/>
        <w:widowControl w:val="0"/>
        <w:shd w:val="clear" w:color="auto" w:fill="auto"/>
        <w:bidi w:val="0"/>
        <w:spacing w:before="0" w:after="0" w:line="240" w:lineRule="auto"/>
        <w:ind w:left="0" w:right="0" w:firstLine="0"/>
        <w:jc w:val="both"/>
      </w:pPr>
      <w:r>
        <w:rPr>
          <w:i/>
          <w:iCs/>
          <w:color w:val="000000"/>
          <w:spacing w:val="0"/>
          <w:w w:val="100"/>
          <w:position w:val="0"/>
          <w:shd w:val="clear" w:color="auto" w:fill="auto"/>
          <w:lang w:val="ru-RU" w:eastAsia="ru-RU" w:bidi="ru-RU"/>
        </w:rPr>
        <w:t>«Технический регламент о безопасности зданий и сооружений» (далее - Федеральный закон № 384-ФЗ).</w:t>
      </w:r>
    </w:p>
    <w:p>
      <w:pPr>
        <w:pStyle w:val="Style11"/>
        <w:keepNext w:val="0"/>
        <w:keepLines w:val="0"/>
        <w:widowControl w:val="0"/>
        <w:shd w:val="clear" w:color="auto" w:fill="auto"/>
        <w:bidi w:val="0"/>
        <w:spacing w:before="0" w:after="0" w:line="240" w:lineRule="auto"/>
        <w:ind w:left="0" w:right="0" w:firstLine="760"/>
        <w:jc w:val="both"/>
      </w:pPr>
      <w:r>
        <w:rPr>
          <w:i/>
          <w:iCs/>
          <w:color w:val="000000"/>
          <w:spacing w:val="0"/>
          <w:w w:val="100"/>
          <w:position w:val="0"/>
          <w:shd w:val="clear" w:color="auto" w:fill="auto"/>
          <w:lang w:val="ru-RU" w:eastAsia="ru-RU" w:bidi="ru-RU"/>
        </w:rPr>
        <w:t>Градостроительный кодекс РФ раскрывает признаки объекта капитального строительства, а также некапитальных строений, сооружений.</w:t>
      </w:r>
    </w:p>
    <w:p>
      <w:pPr>
        <w:pStyle w:val="Style11"/>
        <w:keepNext w:val="0"/>
        <w:keepLines w:val="0"/>
        <w:widowControl w:val="0"/>
        <w:shd w:val="clear" w:color="auto" w:fill="auto"/>
        <w:bidi w:val="0"/>
        <w:spacing w:before="0" w:after="0" w:line="240" w:lineRule="auto"/>
        <w:ind w:left="0" w:right="0" w:firstLine="760"/>
        <w:jc w:val="both"/>
      </w:pPr>
      <w:r>
        <w:rPr>
          <w:i/>
          <w:iCs/>
          <w:color w:val="000000"/>
          <w:spacing w:val="0"/>
          <w:w w:val="100"/>
          <w:position w:val="0"/>
          <w:shd w:val="clear" w:color="auto" w:fill="auto"/>
          <w:lang w:val="ru-RU" w:eastAsia="ru-RU" w:bidi="ru-RU"/>
        </w:rPr>
        <w:t>В соответствии с пунктом 10 статьи 1 Градостроительного кодекса РФ объект капитального строительства - здание, строение, сооружение, объекты, строительство которых не завершено, за исключением некапитальных строений, сооружений и неотделимых улучшений земельного участка (замощение, покрытие и другие).</w:t>
      </w:r>
    </w:p>
    <w:p>
      <w:pPr>
        <w:pStyle w:val="Style11"/>
        <w:keepNext w:val="0"/>
        <w:keepLines w:val="0"/>
        <w:widowControl w:val="0"/>
        <w:shd w:val="clear" w:color="auto" w:fill="auto"/>
        <w:bidi w:val="0"/>
        <w:spacing w:before="0" w:after="0" w:line="240" w:lineRule="auto"/>
        <w:ind w:left="0" w:right="0" w:firstLine="760"/>
        <w:jc w:val="both"/>
      </w:pPr>
      <w:r>
        <w:rPr>
          <w:i/>
          <w:iCs/>
          <w:color w:val="000000"/>
          <w:spacing w:val="0"/>
          <w:w w:val="100"/>
          <w:position w:val="0"/>
          <w:shd w:val="clear" w:color="auto" w:fill="auto"/>
          <w:lang w:val="ru-RU" w:eastAsia="ru-RU" w:bidi="ru-RU"/>
        </w:rPr>
        <w:t>Согласно пункту 10.2 статьи 1 ГрК РФ некапитальные строения, сооружения - строения, сооружения, которые не имеют прочной связи с землей и конструктивные характеристики которых позволяют осуществить их перемещение и (или) демонтаж и последующую сборку без несоразмерного ущерба назначению и без изменения основных характеристик строений, сооружений (в том числе киосков, навесов и других подобных строений, сооружений).</w:t>
      </w:r>
    </w:p>
    <w:p>
      <w:pPr>
        <w:pStyle w:val="Style11"/>
        <w:keepNext w:val="0"/>
        <w:keepLines w:val="0"/>
        <w:widowControl w:val="0"/>
        <w:shd w:val="clear" w:color="auto" w:fill="auto"/>
        <w:bidi w:val="0"/>
        <w:spacing w:before="0" w:after="0" w:line="240" w:lineRule="auto"/>
        <w:ind w:left="0" w:right="0" w:firstLine="760"/>
        <w:jc w:val="both"/>
      </w:pPr>
      <w:r>
        <w:rPr>
          <w:i/>
          <w:iCs/>
          <w:color w:val="000000"/>
          <w:spacing w:val="0"/>
          <w:w w:val="100"/>
          <w:position w:val="0"/>
          <w:shd w:val="clear" w:color="auto" w:fill="auto"/>
          <w:lang w:val="ru-RU" w:eastAsia="ru-RU" w:bidi="ru-RU"/>
        </w:rPr>
        <w:t>Пунктом 3.1 ГОСТ 27751-2014 «Надежность строительных конструкций и оснований. Основные положения» предусмотрено, что для каждого сооружения необходимо установить его класс (КС-1, КС-2 или КС-3) в зависимости от его назначения, а также социальных, экологических и экономических последствий их повреждений и разрушений.</w:t>
      </w:r>
    </w:p>
    <w:p>
      <w:pPr>
        <w:pStyle w:val="Style11"/>
        <w:keepNext w:val="0"/>
        <w:keepLines w:val="0"/>
        <w:widowControl w:val="0"/>
        <w:shd w:val="clear" w:color="auto" w:fill="auto"/>
        <w:bidi w:val="0"/>
        <w:spacing w:before="0" w:after="0" w:line="240" w:lineRule="auto"/>
        <w:ind w:left="0" w:right="0" w:firstLine="760"/>
        <w:jc w:val="both"/>
      </w:pPr>
      <w:r>
        <w:rPr>
          <w:i/>
          <w:iCs/>
          <w:color w:val="000000"/>
          <w:spacing w:val="0"/>
          <w:w w:val="100"/>
          <w:position w:val="0"/>
          <w:shd w:val="clear" w:color="auto" w:fill="auto"/>
          <w:lang w:val="ru-RU" w:eastAsia="ru-RU" w:bidi="ru-RU"/>
        </w:rPr>
        <w:t>Согласно пункту 3.2 ГОСТ 27751-2014 «Надежность строительных конструкций и оснований. Основные положения» класс сооружений устанавливается в задании на проектирование генпроектировщиком по согласованию с заказчиком в соответствии с классификацией, по приложению А.</w:t>
      </w:r>
    </w:p>
    <w:p>
      <w:pPr>
        <w:pStyle w:val="Style11"/>
        <w:keepNext w:val="0"/>
        <w:keepLines w:val="0"/>
        <w:widowControl w:val="0"/>
        <w:shd w:val="clear" w:color="auto" w:fill="auto"/>
        <w:bidi w:val="0"/>
        <w:spacing w:before="0" w:after="0" w:line="240" w:lineRule="auto"/>
        <w:ind w:left="0" w:right="0" w:firstLine="760"/>
        <w:jc w:val="both"/>
      </w:pPr>
      <w:r>
        <w:rPr>
          <w:i/>
          <w:iCs/>
          <w:color w:val="000000"/>
          <w:spacing w:val="0"/>
          <w:w w:val="100"/>
          <w:position w:val="0"/>
          <w:shd w:val="clear" w:color="auto" w:fill="auto"/>
          <w:lang w:val="ru-RU" w:eastAsia="ru-RU" w:bidi="ru-RU"/>
        </w:rPr>
        <w:t>В соответствии с приложением А ГОСТ 27751-2014 к классу сооружений КС-1 относятся теплицы, парники, мобильные здания (сборно-разборные и контейнерного типа), склады временного содержания, в которых не предусматривается постоянного пребывания людей, сооружения с ограниченными сроками службы и пребыванием в них людей, к классу сооружений КС-2 относятся здания и сооружения, не вошедшие в классы КС-1 и КС-3, к классу сооружений КС-3 относятся здания и сооружения особо опасных и технически сложных объектов.</w:t>
      </w:r>
    </w:p>
    <w:p>
      <w:pPr>
        <w:pStyle w:val="Style11"/>
        <w:keepNext w:val="0"/>
        <w:keepLines w:val="0"/>
        <w:widowControl w:val="0"/>
        <w:shd w:val="clear" w:color="auto" w:fill="auto"/>
        <w:bidi w:val="0"/>
        <w:spacing w:before="0" w:after="0" w:line="240" w:lineRule="auto"/>
        <w:ind w:left="0" w:right="0" w:firstLine="760"/>
        <w:jc w:val="both"/>
      </w:pPr>
      <w:r>
        <w:rPr>
          <w:i/>
          <w:iCs/>
          <w:color w:val="000000"/>
          <w:spacing w:val="0"/>
          <w:w w:val="100"/>
          <w:position w:val="0"/>
          <w:shd w:val="clear" w:color="auto" w:fill="auto"/>
          <w:lang w:val="ru-RU" w:eastAsia="ru-RU" w:bidi="ru-RU"/>
        </w:rPr>
        <w:t>В силу части 1 статьи 4 Федерального закона № 384-ФЗ для применения данного Федерального закона здания и сооружения идентифицируются в порядке, установленном указанной статьей, по следующим признакам: назначение, принадлежность к объектам транспортной инфраструктуры и к другим объектам, функционально-технологические особенности которых влияют на их безопасность, возможность опасных природных процессов и явлений и техногенных воздействий на территории, на которой будут осуществляться строительство, реконструкция и эксплуатация здания или сооружения, принадлежность к опасным производственным объектам, пожарная и взрывопожарная опасность, наличие помещений с постоянным пребыванием людей, уровень ответственности.</w:t>
      </w:r>
    </w:p>
    <w:p>
      <w:pPr>
        <w:pStyle w:val="Style11"/>
        <w:keepNext w:val="0"/>
        <w:keepLines w:val="0"/>
        <w:widowControl w:val="0"/>
        <w:shd w:val="clear" w:color="auto" w:fill="auto"/>
        <w:bidi w:val="0"/>
        <w:spacing w:before="0" w:after="0" w:line="240" w:lineRule="auto"/>
        <w:ind w:left="0" w:right="0" w:firstLine="760"/>
        <w:jc w:val="both"/>
      </w:pPr>
      <w:r>
        <w:rPr>
          <w:i/>
          <w:iCs/>
          <w:color w:val="000000"/>
          <w:spacing w:val="0"/>
          <w:w w:val="100"/>
          <w:position w:val="0"/>
          <w:shd w:val="clear" w:color="auto" w:fill="auto"/>
          <w:lang w:val="ru-RU" w:eastAsia="ru-RU" w:bidi="ru-RU"/>
        </w:rPr>
        <w:t>Согласно части 7 статьи 4 Федерального закона № 384-ФЗ в результате идентификации здания или сооружения по признаку, предусмотренному пунктом 7 части 1 данной статьи, здание или сооружение должно быть отнесено к одному из следующих уровней ответственности: 1) повышенный; 2) нормальный; 3) пониженный.</w:t>
      </w:r>
    </w:p>
    <w:p>
      <w:pPr>
        <w:pStyle w:val="Style11"/>
        <w:keepNext w:val="0"/>
        <w:keepLines w:val="0"/>
        <w:widowControl w:val="0"/>
        <w:shd w:val="clear" w:color="auto" w:fill="auto"/>
        <w:bidi w:val="0"/>
        <w:spacing w:before="0" w:after="0" w:line="240" w:lineRule="auto"/>
        <w:ind w:left="0" w:right="0" w:firstLine="760"/>
        <w:jc w:val="both"/>
      </w:pPr>
      <w:r>
        <w:rPr>
          <w:i/>
          <w:iCs/>
          <w:color w:val="000000"/>
          <w:spacing w:val="0"/>
          <w:w w:val="100"/>
          <w:position w:val="0"/>
          <w:shd w:val="clear" w:color="auto" w:fill="auto"/>
          <w:lang w:val="ru-RU" w:eastAsia="ru-RU" w:bidi="ru-RU"/>
        </w:rPr>
        <w:t xml:space="preserve">В соответствии с пунктом 1 части 11 статьи 4 Федерального закона № 384-ФЗ идентификационные признаки, предусмотренные частью 1 статьи 4, указываются </w:t>
      </w:r>
      <w:r>
        <w:rPr>
          <w:i/>
          <w:iCs/>
          <w:color w:val="000000"/>
          <w:spacing w:val="0"/>
          <w:w w:val="100"/>
          <w:position w:val="0"/>
          <w:shd w:val="clear" w:color="auto" w:fill="auto"/>
          <w:lang w:val="ru-RU" w:eastAsia="ru-RU" w:bidi="ru-RU"/>
        </w:rPr>
        <w:t>застройщиком (заказчиком) - в задании на выполнение инженерных изысканий для строительства здания или сооружения и в задании на проектирование.</w:t>
      </w:r>
    </w:p>
    <w:p>
      <w:pPr>
        <w:pStyle w:val="Style11"/>
        <w:keepNext w:val="0"/>
        <w:keepLines w:val="0"/>
        <w:widowControl w:val="0"/>
        <w:shd w:val="clear" w:color="auto" w:fill="auto"/>
        <w:bidi w:val="0"/>
        <w:spacing w:before="0" w:after="0" w:line="240" w:lineRule="auto"/>
        <w:ind w:left="0" w:right="0" w:firstLine="760"/>
        <w:jc w:val="both"/>
      </w:pPr>
      <w:r>
        <w:rPr>
          <w:i/>
          <w:iCs/>
          <w:color w:val="000000"/>
          <w:spacing w:val="0"/>
          <w:w w:val="100"/>
          <w:position w:val="0"/>
          <w:shd w:val="clear" w:color="auto" w:fill="auto"/>
          <w:lang w:val="ru-RU" w:eastAsia="ru-RU" w:bidi="ru-RU"/>
        </w:rPr>
        <w:t>Согласно пункту 1.10 Описания объекта закупки (технического задания) идентификационные сведения об объекте капитального строительства: назначение - блочно-модульная газовая котельная для теплоснабжения, количество этажей - 1 (при необходимости 2). Ориентировочные размеры здания: 14,0*12,0*3,4 м.</w:t>
      </w:r>
    </w:p>
    <w:p>
      <w:pPr>
        <w:pStyle w:val="Style11"/>
        <w:keepNext w:val="0"/>
        <w:keepLines w:val="0"/>
        <w:widowControl w:val="0"/>
        <w:shd w:val="clear" w:color="auto" w:fill="auto"/>
        <w:bidi w:val="0"/>
        <w:spacing w:before="0" w:after="0" w:line="240" w:lineRule="auto"/>
        <w:ind w:left="0" w:right="0" w:firstLine="760"/>
        <w:jc w:val="both"/>
      </w:pPr>
      <w:r>
        <w:rPr>
          <w:i/>
          <w:iCs/>
          <w:color w:val="000000"/>
          <w:spacing w:val="0"/>
          <w:w w:val="100"/>
          <w:position w:val="0"/>
          <w:shd w:val="clear" w:color="auto" w:fill="auto"/>
          <w:lang w:val="ru-RU" w:eastAsia="ru-RU" w:bidi="ru-RU"/>
        </w:rPr>
        <w:t>Уровень ответственности здания котельной - нормальный. Класс сооружения котельной КС-2, коэффициент надёжности по ответственности - 1,0.</w:t>
      </w:r>
    </w:p>
    <w:p>
      <w:pPr>
        <w:pStyle w:val="Style11"/>
        <w:keepNext w:val="0"/>
        <w:keepLines w:val="0"/>
        <w:widowControl w:val="0"/>
        <w:shd w:val="clear" w:color="auto" w:fill="auto"/>
        <w:bidi w:val="0"/>
        <w:spacing w:before="0" w:after="0" w:line="240" w:lineRule="auto"/>
        <w:ind w:left="0" w:right="0" w:firstLine="760"/>
        <w:jc w:val="both"/>
      </w:pPr>
      <w:r>
        <w:rPr>
          <w:i/>
          <w:iCs/>
          <w:color w:val="000000"/>
          <w:spacing w:val="0"/>
          <w:w w:val="100"/>
          <w:position w:val="0"/>
          <w:shd w:val="clear" w:color="auto" w:fill="auto"/>
          <w:lang w:val="ru-RU" w:eastAsia="ru-RU" w:bidi="ru-RU"/>
        </w:rPr>
        <w:t>Пунктом 1.1 проекта контракта установлено, что работы по контракту включают в себя:</w:t>
      </w:r>
    </w:p>
    <w:p>
      <w:pPr>
        <w:pStyle w:val="Style11"/>
        <w:keepNext w:val="0"/>
        <w:keepLines w:val="0"/>
        <w:widowControl w:val="0"/>
        <w:numPr>
          <w:ilvl w:val="0"/>
          <w:numId w:val="3"/>
        </w:numPr>
        <w:shd w:val="clear" w:color="auto" w:fill="auto"/>
        <w:tabs>
          <w:tab w:pos="1032" w:val="left"/>
        </w:tabs>
        <w:bidi w:val="0"/>
        <w:spacing w:before="0" w:after="0" w:line="240" w:lineRule="auto"/>
        <w:ind w:left="0" w:right="0" w:firstLine="760"/>
        <w:jc w:val="both"/>
      </w:pPr>
      <w:r>
        <w:rPr>
          <w:i/>
          <w:iCs/>
          <w:color w:val="000000"/>
          <w:spacing w:val="0"/>
          <w:w w:val="100"/>
          <w:position w:val="0"/>
          <w:shd w:val="clear" w:color="auto" w:fill="auto"/>
          <w:lang w:val="ru-RU" w:eastAsia="ru-RU" w:bidi="ru-RU"/>
        </w:rPr>
        <w:t>инженерно-геодезические изыскания;</w:t>
      </w:r>
    </w:p>
    <w:p>
      <w:pPr>
        <w:pStyle w:val="Style11"/>
        <w:keepNext w:val="0"/>
        <w:keepLines w:val="0"/>
        <w:widowControl w:val="0"/>
        <w:numPr>
          <w:ilvl w:val="0"/>
          <w:numId w:val="3"/>
        </w:numPr>
        <w:shd w:val="clear" w:color="auto" w:fill="auto"/>
        <w:tabs>
          <w:tab w:pos="1032" w:val="left"/>
        </w:tabs>
        <w:bidi w:val="0"/>
        <w:spacing w:before="0" w:after="0" w:line="240" w:lineRule="auto"/>
        <w:ind w:left="0" w:right="0" w:firstLine="760"/>
        <w:jc w:val="both"/>
      </w:pPr>
      <w:r>
        <w:rPr>
          <w:i/>
          <w:iCs/>
          <w:color w:val="000000"/>
          <w:spacing w:val="0"/>
          <w:w w:val="100"/>
          <w:position w:val="0"/>
          <w:shd w:val="clear" w:color="auto" w:fill="auto"/>
          <w:lang w:val="ru-RU" w:eastAsia="ru-RU" w:bidi="ru-RU"/>
        </w:rPr>
        <w:t>инженерно-геологические изыскания;</w:t>
      </w:r>
    </w:p>
    <w:p>
      <w:pPr>
        <w:pStyle w:val="Style11"/>
        <w:keepNext w:val="0"/>
        <w:keepLines w:val="0"/>
        <w:widowControl w:val="0"/>
        <w:numPr>
          <w:ilvl w:val="0"/>
          <w:numId w:val="3"/>
        </w:numPr>
        <w:shd w:val="clear" w:color="auto" w:fill="auto"/>
        <w:tabs>
          <w:tab w:pos="1032" w:val="left"/>
        </w:tabs>
        <w:bidi w:val="0"/>
        <w:spacing w:before="0" w:after="0" w:line="240" w:lineRule="auto"/>
        <w:ind w:left="0" w:right="0" w:firstLine="760"/>
        <w:jc w:val="both"/>
      </w:pPr>
      <w:r>
        <w:rPr>
          <w:i/>
          <w:iCs/>
          <w:color w:val="000000"/>
          <w:spacing w:val="0"/>
          <w:w w:val="100"/>
          <w:position w:val="0"/>
          <w:shd w:val="clear" w:color="auto" w:fill="auto"/>
          <w:lang w:val="ru-RU" w:eastAsia="ru-RU" w:bidi="ru-RU"/>
        </w:rPr>
        <w:t>инженерно-экологические изыскания;</w:t>
      </w:r>
    </w:p>
    <w:p>
      <w:pPr>
        <w:pStyle w:val="Style11"/>
        <w:keepNext w:val="0"/>
        <w:keepLines w:val="0"/>
        <w:widowControl w:val="0"/>
        <w:numPr>
          <w:ilvl w:val="0"/>
          <w:numId w:val="3"/>
        </w:numPr>
        <w:shd w:val="clear" w:color="auto" w:fill="auto"/>
        <w:tabs>
          <w:tab w:pos="1032" w:val="left"/>
        </w:tabs>
        <w:bidi w:val="0"/>
        <w:spacing w:before="0" w:after="0" w:line="240" w:lineRule="auto"/>
        <w:ind w:left="0" w:right="0" w:firstLine="760"/>
        <w:jc w:val="both"/>
      </w:pPr>
      <w:r>
        <w:rPr>
          <w:i/>
          <w:iCs/>
          <w:color w:val="000000"/>
          <w:spacing w:val="0"/>
          <w:w w:val="100"/>
          <w:position w:val="0"/>
          <w:shd w:val="clear" w:color="auto" w:fill="auto"/>
          <w:lang w:val="ru-RU" w:eastAsia="ru-RU" w:bidi="ru-RU"/>
        </w:rPr>
        <w:t>подготовку проектной и рабочей документации;</w:t>
      </w:r>
    </w:p>
    <w:p>
      <w:pPr>
        <w:pStyle w:val="Style11"/>
        <w:keepNext w:val="0"/>
        <w:keepLines w:val="0"/>
        <w:widowControl w:val="0"/>
        <w:numPr>
          <w:ilvl w:val="0"/>
          <w:numId w:val="3"/>
        </w:numPr>
        <w:shd w:val="clear" w:color="auto" w:fill="auto"/>
        <w:tabs>
          <w:tab w:pos="1006" w:val="left"/>
        </w:tabs>
        <w:bidi w:val="0"/>
        <w:spacing w:before="0" w:after="0" w:line="240" w:lineRule="auto"/>
        <w:ind w:left="0" w:right="0" w:firstLine="760"/>
        <w:jc w:val="both"/>
      </w:pPr>
      <w:r>
        <w:rPr>
          <w:i/>
          <w:iCs/>
          <w:color w:val="000000"/>
          <w:spacing w:val="0"/>
          <w:w w:val="100"/>
          <w:position w:val="0"/>
          <w:shd w:val="clear" w:color="auto" w:fill="auto"/>
          <w:lang w:val="ru-RU" w:eastAsia="ru-RU" w:bidi="ru-RU"/>
        </w:rPr>
        <w:t>согласование проектной (рабочей) документации с владельцами сетей и земельных участков, попадающих в зону строительства;</w:t>
      </w:r>
    </w:p>
    <w:p>
      <w:pPr>
        <w:pStyle w:val="Style11"/>
        <w:keepNext w:val="0"/>
        <w:keepLines w:val="0"/>
        <w:widowControl w:val="0"/>
        <w:numPr>
          <w:ilvl w:val="0"/>
          <w:numId w:val="3"/>
        </w:numPr>
        <w:shd w:val="clear" w:color="auto" w:fill="auto"/>
        <w:tabs>
          <w:tab w:pos="1123" w:val="left"/>
        </w:tabs>
        <w:bidi w:val="0"/>
        <w:spacing w:before="0" w:after="0" w:line="240" w:lineRule="auto"/>
        <w:ind w:left="0" w:right="0" w:firstLine="760"/>
        <w:jc w:val="both"/>
      </w:pPr>
      <w:r>
        <w:rPr>
          <w:i/>
          <w:iCs/>
          <w:color w:val="000000"/>
          <w:spacing w:val="0"/>
          <w:w w:val="100"/>
          <w:position w:val="0"/>
          <w:shd w:val="clear" w:color="auto" w:fill="auto"/>
          <w:lang w:val="ru-RU" w:eastAsia="ru-RU" w:bidi="ru-RU"/>
        </w:rPr>
        <w:t>прохождение государственной экспертизы проектной документации и результатов инженерных изысканий, включающей проверку достоверности определения сметной стоимости строительства;</w:t>
      </w:r>
    </w:p>
    <w:p>
      <w:pPr>
        <w:pStyle w:val="Style11"/>
        <w:keepNext w:val="0"/>
        <w:keepLines w:val="0"/>
        <w:widowControl w:val="0"/>
        <w:numPr>
          <w:ilvl w:val="0"/>
          <w:numId w:val="3"/>
        </w:numPr>
        <w:shd w:val="clear" w:color="auto" w:fill="auto"/>
        <w:tabs>
          <w:tab w:pos="1123" w:val="left"/>
        </w:tabs>
        <w:bidi w:val="0"/>
        <w:spacing w:before="0" w:after="0" w:line="240" w:lineRule="auto"/>
        <w:ind w:left="0" w:right="0" w:firstLine="760"/>
        <w:jc w:val="both"/>
      </w:pPr>
      <w:r>
        <w:rPr>
          <w:i/>
          <w:iCs/>
          <w:color w:val="000000"/>
          <w:spacing w:val="0"/>
          <w:w w:val="100"/>
          <w:position w:val="0"/>
          <w:shd w:val="clear" w:color="auto" w:fill="auto"/>
          <w:lang w:val="ru-RU" w:eastAsia="ru-RU" w:bidi="ru-RU"/>
        </w:rPr>
        <w:t>строительство объекта, включая монтаж оборудования, устройство инженерных систем, выполнение пусконаладочных работ;</w:t>
      </w:r>
    </w:p>
    <w:p>
      <w:pPr>
        <w:pStyle w:val="Style11"/>
        <w:keepNext w:val="0"/>
        <w:keepLines w:val="0"/>
        <w:widowControl w:val="0"/>
        <w:numPr>
          <w:ilvl w:val="0"/>
          <w:numId w:val="3"/>
        </w:numPr>
        <w:shd w:val="clear" w:color="auto" w:fill="auto"/>
        <w:tabs>
          <w:tab w:pos="1032" w:val="left"/>
        </w:tabs>
        <w:bidi w:val="0"/>
        <w:spacing w:before="0" w:after="0" w:line="240" w:lineRule="auto"/>
        <w:ind w:left="0" w:right="0" w:firstLine="760"/>
        <w:jc w:val="both"/>
      </w:pPr>
      <w:r>
        <w:rPr>
          <w:i/>
          <w:iCs/>
          <w:color w:val="000000"/>
          <w:spacing w:val="0"/>
          <w:w w:val="100"/>
          <w:position w:val="0"/>
          <w:shd w:val="clear" w:color="auto" w:fill="auto"/>
          <w:lang w:val="ru-RU" w:eastAsia="ru-RU" w:bidi="ru-RU"/>
        </w:rPr>
        <w:t>проведение тепловизионного контроля с представлением результатов заказчику;</w:t>
      </w:r>
    </w:p>
    <w:p>
      <w:pPr>
        <w:pStyle w:val="Style11"/>
        <w:keepNext w:val="0"/>
        <w:keepLines w:val="0"/>
        <w:widowControl w:val="0"/>
        <w:numPr>
          <w:ilvl w:val="0"/>
          <w:numId w:val="3"/>
        </w:numPr>
        <w:shd w:val="clear" w:color="auto" w:fill="auto"/>
        <w:tabs>
          <w:tab w:pos="978" w:val="left"/>
        </w:tabs>
        <w:bidi w:val="0"/>
        <w:spacing w:before="0" w:after="0" w:line="240" w:lineRule="auto"/>
        <w:ind w:left="0" w:right="0" w:firstLine="760"/>
        <w:jc w:val="both"/>
      </w:pPr>
      <w:r>
        <w:rPr>
          <w:i/>
          <w:iCs/>
          <w:color w:val="000000"/>
          <w:spacing w:val="0"/>
          <w:w w:val="100"/>
          <w:position w:val="0"/>
          <w:shd w:val="clear" w:color="auto" w:fill="auto"/>
          <w:lang w:val="ru-RU" w:eastAsia="ru-RU" w:bidi="ru-RU"/>
        </w:rPr>
        <w:t>изготовление технических планов и иных документов, необходимых для постановки объекта и сетей инженерно-технического обеспечения на кадастровый учет.</w:t>
      </w:r>
    </w:p>
    <w:p>
      <w:pPr>
        <w:pStyle w:val="Style11"/>
        <w:keepNext w:val="0"/>
        <w:keepLines w:val="0"/>
        <w:widowControl w:val="0"/>
        <w:shd w:val="clear" w:color="auto" w:fill="auto"/>
        <w:bidi w:val="0"/>
        <w:spacing w:before="0" w:after="0" w:line="240" w:lineRule="auto"/>
        <w:ind w:left="0" w:right="0" w:firstLine="760"/>
        <w:jc w:val="both"/>
      </w:pPr>
      <w:r>
        <w:rPr>
          <w:i/>
          <w:iCs/>
          <w:color w:val="000000"/>
          <w:spacing w:val="0"/>
          <w:w w:val="100"/>
          <w:position w:val="0"/>
          <w:shd w:val="clear" w:color="auto" w:fill="auto"/>
          <w:lang w:val="ru-RU" w:eastAsia="ru-RU" w:bidi="ru-RU"/>
        </w:rPr>
        <w:t>Согласно пункту 1.2 проекта контракта результатом выполнения строительно</w:t>
        <w:softHyphen/>
        <w:t>монтажных работ по контракту является построенный объект капитального строительства, в отношении которого получено заключение органа государственного строительного надзора о соответствии построенного объекта капитального строительства требованиям проектной документации и заключение федерального государственного экологического надзора в случаях, предусмотренных частью 5 статьи 54 Градостроительного кодекса РФ.</w:t>
      </w:r>
    </w:p>
    <w:p>
      <w:pPr>
        <w:pStyle w:val="Style11"/>
        <w:keepNext w:val="0"/>
        <w:keepLines w:val="0"/>
        <w:widowControl w:val="0"/>
        <w:shd w:val="clear" w:color="auto" w:fill="auto"/>
        <w:bidi w:val="0"/>
        <w:spacing w:before="0" w:after="0" w:line="240" w:lineRule="auto"/>
        <w:ind w:left="0" w:right="0" w:firstLine="760"/>
        <w:jc w:val="both"/>
      </w:pPr>
      <w:r>
        <w:rPr>
          <w:i/>
          <w:iCs/>
          <w:color w:val="000000"/>
          <w:spacing w:val="0"/>
          <w:w w:val="100"/>
          <w:position w:val="0"/>
          <w:shd w:val="clear" w:color="auto" w:fill="auto"/>
          <w:lang w:val="ru-RU" w:eastAsia="ru-RU" w:bidi="ru-RU"/>
        </w:rPr>
        <w:t>Пунктом 4.17 Описания объекта закупки (технического задания) предусмотрено, что в границы создаваемого объекта входит:</w:t>
      </w:r>
    </w:p>
    <w:p>
      <w:pPr>
        <w:pStyle w:val="Style11"/>
        <w:keepNext w:val="0"/>
        <w:keepLines w:val="0"/>
        <w:widowControl w:val="0"/>
        <w:numPr>
          <w:ilvl w:val="0"/>
          <w:numId w:val="3"/>
        </w:numPr>
        <w:shd w:val="clear" w:color="auto" w:fill="auto"/>
        <w:tabs>
          <w:tab w:pos="1032" w:val="left"/>
        </w:tabs>
        <w:bidi w:val="0"/>
        <w:spacing w:before="0" w:after="0" w:line="240" w:lineRule="auto"/>
        <w:ind w:left="0" w:right="0" w:firstLine="760"/>
        <w:jc w:val="both"/>
      </w:pPr>
      <w:r>
        <w:rPr>
          <w:i/>
          <w:iCs/>
          <w:color w:val="000000"/>
          <w:spacing w:val="0"/>
          <w:w w:val="100"/>
          <w:position w:val="0"/>
          <w:shd w:val="clear" w:color="auto" w:fill="auto"/>
          <w:lang w:val="ru-RU" w:eastAsia="ru-RU" w:bidi="ru-RU"/>
        </w:rPr>
        <w:t>котельная с благоустройством в границах проектируемого участка;</w:t>
      </w:r>
    </w:p>
    <w:p>
      <w:pPr>
        <w:pStyle w:val="Style11"/>
        <w:keepNext w:val="0"/>
        <w:keepLines w:val="0"/>
        <w:widowControl w:val="0"/>
        <w:numPr>
          <w:ilvl w:val="0"/>
          <w:numId w:val="3"/>
        </w:numPr>
        <w:shd w:val="clear" w:color="auto" w:fill="auto"/>
        <w:tabs>
          <w:tab w:pos="982" w:val="left"/>
        </w:tabs>
        <w:bidi w:val="0"/>
        <w:spacing w:before="0" w:after="0" w:line="240" w:lineRule="auto"/>
        <w:ind w:left="0" w:right="0" w:firstLine="760"/>
        <w:jc w:val="both"/>
      </w:pPr>
      <w:r>
        <w:rPr>
          <w:i/>
          <w:iCs/>
          <w:color w:val="000000"/>
          <w:spacing w:val="0"/>
          <w:w w:val="100"/>
          <w:position w:val="0"/>
          <w:shd w:val="clear" w:color="auto" w:fill="auto"/>
          <w:lang w:val="ru-RU" w:eastAsia="ru-RU" w:bidi="ru-RU"/>
        </w:rPr>
        <w:t>здание котельной с ограждающими конструкциями, дымовыми трубами и газоходами;</w:t>
      </w:r>
    </w:p>
    <w:p>
      <w:pPr>
        <w:pStyle w:val="Style11"/>
        <w:keepNext w:val="0"/>
        <w:keepLines w:val="0"/>
        <w:widowControl w:val="0"/>
        <w:numPr>
          <w:ilvl w:val="0"/>
          <w:numId w:val="3"/>
        </w:numPr>
        <w:shd w:val="clear" w:color="auto" w:fill="auto"/>
        <w:tabs>
          <w:tab w:pos="963" w:val="left"/>
        </w:tabs>
        <w:bidi w:val="0"/>
        <w:spacing w:before="0" w:after="0" w:line="240" w:lineRule="auto"/>
        <w:ind w:left="0" w:right="0" w:firstLine="760"/>
        <w:jc w:val="both"/>
      </w:pPr>
      <w:r>
        <w:rPr>
          <w:i/>
          <w:iCs/>
          <w:color w:val="000000"/>
          <w:spacing w:val="0"/>
          <w:w w:val="100"/>
          <w:position w:val="0"/>
          <w:shd w:val="clear" w:color="auto" w:fill="auto"/>
          <w:lang w:val="ru-RU" w:eastAsia="ru-RU" w:bidi="ru-RU"/>
        </w:rPr>
        <w:t>фундаменты под котельную, дымовые трубы, подвод всех наружный сетей (газоснабжение, водоснабжение, канализация, электроснабжение, тепловые сети).</w:t>
      </w:r>
    </w:p>
    <w:p>
      <w:pPr>
        <w:pStyle w:val="Style11"/>
        <w:keepNext w:val="0"/>
        <w:keepLines w:val="0"/>
        <w:widowControl w:val="0"/>
        <w:shd w:val="clear" w:color="auto" w:fill="auto"/>
        <w:bidi w:val="0"/>
        <w:spacing w:before="0" w:after="0" w:line="240" w:lineRule="auto"/>
        <w:ind w:left="0" w:right="0" w:firstLine="760"/>
        <w:jc w:val="both"/>
      </w:pPr>
      <w:r>
        <w:rPr>
          <w:i/>
          <w:iCs/>
          <w:color w:val="000000"/>
          <w:spacing w:val="0"/>
          <w:w w:val="100"/>
          <w:position w:val="0"/>
          <w:shd w:val="clear" w:color="auto" w:fill="auto"/>
          <w:lang w:val="ru-RU" w:eastAsia="ru-RU" w:bidi="ru-RU"/>
        </w:rPr>
        <w:t>В состав объекта должна входить как сама котельная в виде здания, так и фундаменты котельной, дымовые трубы, инженерные сети (газ, вода, канализация, электроснабжение, тепловые сети) и иные сооружения, необходимые для эксплуатации данного объекта. Для строительства данного объекта подрядчику необходимо осуществить инженерные изыскания и подготовить проектную документацию.</w:t>
      </w:r>
    </w:p>
    <w:p>
      <w:pPr>
        <w:pStyle w:val="Style11"/>
        <w:keepNext w:val="0"/>
        <w:keepLines w:val="0"/>
        <w:widowControl w:val="0"/>
        <w:shd w:val="clear" w:color="auto" w:fill="auto"/>
        <w:bidi w:val="0"/>
        <w:spacing w:before="0" w:after="0" w:line="240" w:lineRule="auto"/>
        <w:ind w:left="0" w:right="0" w:firstLine="760"/>
        <w:jc w:val="both"/>
      </w:pPr>
      <w:r>
        <w:rPr>
          <w:i/>
          <w:iCs/>
          <w:color w:val="000000"/>
          <w:spacing w:val="0"/>
          <w:w w:val="100"/>
          <w:position w:val="0"/>
          <w:shd w:val="clear" w:color="auto" w:fill="auto"/>
          <w:lang w:val="ru-RU" w:eastAsia="ru-RU" w:bidi="ru-RU"/>
        </w:rPr>
        <w:t>Таким образом, заказчику необходимо именно строительство объекта капитального строительства, а не поставка блочно-модульной котельной в готовом виде.</w:t>
      </w:r>
    </w:p>
    <w:p>
      <w:pPr>
        <w:pStyle w:val="Style11"/>
        <w:keepNext w:val="0"/>
        <w:keepLines w:val="0"/>
        <w:widowControl w:val="0"/>
        <w:shd w:val="clear" w:color="auto" w:fill="auto"/>
        <w:bidi w:val="0"/>
        <w:spacing w:before="0" w:after="0" w:line="240" w:lineRule="auto"/>
        <w:ind w:left="0" w:right="0" w:firstLine="760"/>
        <w:jc w:val="both"/>
      </w:pPr>
      <w:r>
        <w:rPr>
          <w:i/>
          <w:iCs/>
          <w:color w:val="000000"/>
          <w:spacing w:val="0"/>
          <w:w w:val="100"/>
          <w:position w:val="0"/>
          <w:shd w:val="clear" w:color="auto" w:fill="auto"/>
          <w:lang w:val="ru-RU" w:eastAsia="ru-RU" w:bidi="ru-RU"/>
        </w:rPr>
        <w:t xml:space="preserve">В соответствии с приказом Минстроя России от 02.11.2022 № 928/пр «Об </w:t>
      </w:r>
      <w:r>
        <w:rPr>
          <w:i/>
          <w:iCs/>
          <w:color w:val="000000"/>
          <w:spacing w:val="0"/>
          <w:w w:val="100"/>
          <w:position w:val="0"/>
          <w:shd w:val="clear" w:color="auto" w:fill="auto"/>
          <w:lang w:val="ru-RU" w:eastAsia="ru-RU" w:bidi="ru-RU"/>
        </w:rPr>
        <w:t>утверждении классификатора объектов капитального строительства по их назначению и функционально-технологическим особенностям (для целей архитектурно-строительного проектирования и ведения единого государственного реестра заключений экспертизы проектной документации объектов капитального строительства)» здание котельной относится к объектам капитального строительства. При этом условиями закупки предусмотрено, что котельная должна быть в блочном-модульном исполнении».</w:t>
      </w:r>
    </w:p>
    <w:p>
      <w:pPr>
        <w:pStyle w:val="Style11"/>
        <w:keepNext w:val="0"/>
        <w:keepLines w:val="0"/>
        <w:widowControl w:val="0"/>
        <w:shd w:val="clear" w:color="auto" w:fill="auto"/>
        <w:bidi w:val="0"/>
        <w:spacing w:before="0" w:after="0" w:line="240" w:lineRule="auto"/>
        <w:ind w:left="0" w:right="0" w:firstLine="760"/>
        <w:jc w:val="both"/>
      </w:pPr>
      <w:r>
        <w:rPr>
          <w:color w:val="000000"/>
          <w:spacing w:val="0"/>
          <w:w w:val="100"/>
          <w:position w:val="0"/>
          <w:shd w:val="clear" w:color="auto" w:fill="auto"/>
          <w:lang w:val="ru-RU" w:eastAsia="ru-RU" w:bidi="ru-RU"/>
        </w:rPr>
        <w:t>Позиция Заказчика о том, что предметом контракта является строительство объекта в целом, соотносится с условиями контракта, а именно:</w:t>
      </w:r>
    </w:p>
    <w:p>
      <w:pPr>
        <w:pStyle w:val="Style11"/>
        <w:keepNext w:val="0"/>
        <w:keepLines w:val="0"/>
        <w:widowControl w:val="0"/>
        <w:shd w:val="clear" w:color="auto" w:fill="auto"/>
        <w:bidi w:val="0"/>
        <w:spacing w:before="0" w:after="0" w:line="240" w:lineRule="auto"/>
        <w:ind w:left="0" w:right="0" w:firstLine="760"/>
        <w:jc w:val="both"/>
      </w:pPr>
      <w:r>
        <w:rPr>
          <w:color w:val="000000"/>
          <w:spacing w:val="0"/>
          <w:w w:val="100"/>
          <w:position w:val="0"/>
          <w:shd w:val="clear" w:color="auto" w:fill="auto"/>
          <w:lang w:val="ru-RU" w:eastAsia="ru-RU" w:bidi="ru-RU"/>
        </w:rPr>
        <w:t xml:space="preserve">В соответствии с пунктом 1.1. проекта контракта </w:t>
      </w:r>
      <w:r>
        <w:rPr>
          <w:color w:val="000000"/>
          <w:spacing w:val="0"/>
          <w:w w:val="100"/>
          <w:position w:val="0"/>
          <w:sz w:val="24"/>
          <w:szCs w:val="24"/>
          <w:shd w:val="clear" w:color="auto" w:fill="auto"/>
          <w:lang w:val="ru-RU" w:eastAsia="ru-RU" w:bidi="ru-RU"/>
        </w:rPr>
        <w:t>Заказчик поручает, а Подрядчик принимает на себя обязательство выполнить комплекс работ согласно условиям Контракта и Приложениями к нему (далее - Работы) на объекте: «Блочно-модульная газовая котельная по адресу: Тверская об</w:t>
      </w:r>
      <w:r>
        <w:rPr>
          <w:color w:val="000000"/>
          <w:spacing w:val="0"/>
          <w:w w:val="100"/>
          <w:position w:val="0"/>
          <w:shd w:val="clear" w:color="auto" w:fill="auto"/>
          <w:lang w:val="ru-RU" w:eastAsia="ru-RU" w:bidi="ru-RU"/>
        </w:rPr>
        <w:t>л., г. Нелидово, ул.Мира» (далее - Объект), оформить надлежащим образом исполнительную документацию в полном объеме и сдать Заказчику законченный строительством Объект, пригодный для использования, а Заказчик обязуется принять работы и оплатить их.</w:t>
      </w:r>
    </w:p>
    <w:p>
      <w:pPr>
        <w:pStyle w:val="Style11"/>
        <w:keepNext w:val="0"/>
        <w:keepLines w:val="0"/>
        <w:widowControl w:val="0"/>
        <w:shd w:val="clear" w:color="auto" w:fill="auto"/>
        <w:bidi w:val="0"/>
        <w:spacing w:before="0" w:after="0" w:line="240" w:lineRule="auto"/>
        <w:ind w:left="0" w:right="0" w:firstLine="760"/>
        <w:jc w:val="both"/>
      </w:pPr>
      <w:r>
        <w:rPr>
          <w:color w:val="000000"/>
          <w:spacing w:val="0"/>
          <w:w w:val="100"/>
          <w:position w:val="0"/>
          <w:shd w:val="clear" w:color="auto" w:fill="auto"/>
          <w:lang w:val="ru-RU" w:eastAsia="ru-RU" w:bidi="ru-RU"/>
        </w:rPr>
        <w:t>Работы по Контракту включают в себя:</w:t>
      </w:r>
    </w:p>
    <w:p>
      <w:pPr>
        <w:pStyle w:val="Style11"/>
        <w:keepNext w:val="0"/>
        <w:keepLines w:val="0"/>
        <w:widowControl w:val="0"/>
        <w:numPr>
          <w:ilvl w:val="0"/>
          <w:numId w:val="3"/>
        </w:numPr>
        <w:shd w:val="clear" w:color="auto" w:fill="auto"/>
        <w:tabs>
          <w:tab w:pos="1022" w:val="left"/>
        </w:tabs>
        <w:bidi w:val="0"/>
        <w:spacing w:before="0" w:after="0" w:line="240" w:lineRule="auto"/>
        <w:ind w:left="0" w:right="0" w:firstLine="760"/>
        <w:jc w:val="both"/>
      </w:pPr>
      <w:r>
        <w:rPr>
          <w:color w:val="000000"/>
          <w:spacing w:val="0"/>
          <w:w w:val="100"/>
          <w:position w:val="0"/>
          <w:shd w:val="clear" w:color="auto" w:fill="auto"/>
          <w:lang w:val="ru-RU" w:eastAsia="ru-RU" w:bidi="ru-RU"/>
        </w:rPr>
        <w:t>заключение договоров на технологическое присоединение к инженерным сетям;</w:t>
      </w:r>
    </w:p>
    <w:p>
      <w:pPr>
        <w:pStyle w:val="Style11"/>
        <w:keepNext w:val="0"/>
        <w:keepLines w:val="0"/>
        <w:widowControl w:val="0"/>
        <w:numPr>
          <w:ilvl w:val="0"/>
          <w:numId w:val="3"/>
        </w:numPr>
        <w:shd w:val="clear" w:color="auto" w:fill="auto"/>
        <w:tabs>
          <w:tab w:pos="1022" w:val="left"/>
        </w:tabs>
        <w:bidi w:val="0"/>
        <w:spacing w:before="0" w:after="0" w:line="240" w:lineRule="auto"/>
        <w:ind w:left="0" w:right="0" w:firstLine="760"/>
        <w:jc w:val="both"/>
      </w:pPr>
      <w:r>
        <w:rPr>
          <w:color w:val="000000"/>
          <w:spacing w:val="0"/>
          <w:w w:val="100"/>
          <w:position w:val="0"/>
          <w:shd w:val="clear" w:color="auto" w:fill="auto"/>
          <w:lang w:val="ru-RU" w:eastAsia="ru-RU" w:bidi="ru-RU"/>
        </w:rPr>
        <w:t>инженерно-геодезические изыскания;</w:t>
      </w:r>
    </w:p>
    <w:p>
      <w:pPr>
        <w:pStyle w:val="Style11"/>
        <w:keepNext w:val="0"/>
        <w:keepLines w:val="0"/>
        <w:widowControl w:val="0"/>
        <w:numPr>
          <w:ilvl w:val="0"/>
          <w:numId w:val="3"/>
        </w:numPr>
        <w:shd w:val="clear" w:color="auto" w:fill="auto"/>
        <w:tabs>
          <w:tab w:pos="1022" w:val="left"/>
        </w:tabs>
        <w:bidi w:val="0"/>
        <w:spacing w:before="0" w:after="0" w:line="240" w:lineRule="auto"/>
        <w:ind w:left="0" w:right="0" w:firstLine="760"/>
        <w:jc w:val="both"/>
      </w:pPr>
      <w:r>
        <w:rPr>
          <w:color w:val="000000"/>
          <w:spacing w:val="0"/>
          <w:w w:val="100"/>
          <w:position w:val="0"/>
          <w:shd w:val="clear" w:color="auto" w:fill="auto"/>
          <w:lang w:val="ru-RU" w:eastAsia="ru-RU" w:bidi="ru-RU"/>
        </w:rPr>
        <w:t>инженерно-геологические изыскания;</w:t>
      </w:r>
    </w:p>
    <w:p>
      <w:pPr>
        <w:pStyle w:val="Style11"/>
        <w:keepNext w:val="0"/>
        <w:keepLines w:val="0"/>
        <w:widowControl w:val="0"/>
        <w:numPr>
          <w:ilvl w:val="0"/>
          <w:numId w:val="3"/>
        </w:numPr>
        <w:shd w:val="clear" w:color="auto" w:fill="auto"/>
        <w:tabs>
          <w:tab w:pos="1022" w:val="left"/>
        </w:tabs>
        <w:bidi w:val="0"/>
        <w:spacing w:before="0" w:after="0" w:line="240" w:lineRule="auto"/>
        <w:ind w:left="0" w:right="0" w:firstLine="760"/>
        <w:jc w:val="both"/>
      </w:pPr>
      <w:r>
        <w:rPr>
          <w:color w:val="000000"/>
          <w:spacing w:val="0"/>
          <w:w w:val="100"/>
          <w:position w:val="0"/>
          <w:shd w:val="clear" w:color="auto" w:fill="auto"/>
          <w:lang w:val="ru-RU" w:eastAsia="ru-RU" w:bidi="ru-RU"/>
        </w:rPr>
        <w:t>инженерно-экологические изыскания;</w:t>
      </w:r>
    </w:p>
    <w:p>
      <w:pPr>
        <w:pStyle w:val="Style11"/>
        <w:keepNext w:val="0"/>
        <w:keepLines w:val="0"/>
        <w:widowControl w:val="0"/>
        <w:numPr>
          <w:ilvl w:val="0"/>
          <w:numId w:val="3"/>
        </w:numPr>
        <w:shd w:val="clear" w:color="auto" w:fill="auto"/>
        <w:tabs>
          <w:tab w:pos="1022" w:val="left"/>
        </w:tabs>
        <w:bidi w:val="0"/>
        <w:spacing w:before="0" w:after="0" w:line="240" w:lineRule="auto"/>
        <w:ind w:left="0" w:right="0" w:firstLine="760"/>
        <w:jc w:val="both"/>
      </w:pPr>
      <w:r>
        <w:rPr>
          <w:color w:val="000000"/>
          <w:spacing w:val="0"/>
          <w:w w:val="100"/>
          <w:position w:val="0"/>
          <w:shd w:val="clear" w:color="auto" w:fill="auto"/>
          <w:lang w:val="ru-RU" w:eastAsia="ru-RU" w:bidi="ru-RU"/>
        </w:rPr>
        <w:t>подготовку проектной и рабочей документации;</w:t>
      </w:r>
    </w:p>
    <w:p>
      <w:pPr>
        <w:pStyle w:val="Style11"/>
        <w:keepNext w:val="0"/>
        <w:keepLines w:val="0"/>
        <w:widowControl w:val="0"/>
        <w:numPr>
          <w:ilvl w:val="0"/>
          <w:numId w:val="3"/>
        </w:numPr>
        <w:shd w:val="clear" w:color="auto" w:fill="auto"/>
        <w:tabs>
          <w:tab w:pos="987" w:val="left"/>
        </w:tabs>
        <w:bidi w:val="0"/>
        <w:spacing w:before="0" w:after="0" w:line="240" w:lineRule="auto"/>
        <w:ind w:left="0" w:right="0" w:firstLine="760"/>
        <w:jc w:val="both"/>
      </w:pPr>
      <w:r>
        <w:rPr>
          <w:color w:val="000000"/>
          <w:spacing w:val="0"/>
          <w:w w:val="100"/>
          <w:position w:val="0"/>
          <w:shd w:val="clear" w:color="auto" w:fill="auto"/>
          <w:lang w:val="ru-RU" w:eastAsia="ru-RU" w:bidi="ru-RU"/>
        </w:rPr>
        <w:t>согласование проектной (рабочей) документации с владельцами сетей и земельных участков, попадающих в зону строительства;</w:t>
      </w:r>
    </w:p>
    <w:p>
      <w:pPr>
        <w:pStyle w:val="Style11"/>
        <w:keepNext w:val="0"/>
        <w:keepLines w:val="0"/>
        <w:widowControl w:val="0"/>
        <w:numPr>
          <w:ilvl w:val="0"/>
          <w:numId w:val="3"/>
        </w:numPr>
        <w:shd w:val="clear" w:color="auto" w:fill="auto"/>
        <w:tabs>
          <w:tab w:pos="978" w:val="left"/>
        </w:tabs>
        <w:bidi w:val="0"/>
        <w:spacing w:before="0" w:after="0" w:line="240" w:lineRule="auto"/>
        <w:ind w:left="0" w:right="0" w:firstLine="760"/>
        <w:jc w:val="both"/>
      </w:pPr>
      <w:r>
        <w:rPr>
          <w:color w:val="000000"/>
          <w:spacing w:val="0"/>
          <w:w w:val="100"/>
          <w:position w:val="0"/>
          <w:shd w:val="clear" w:color="auto" w:fill="auto"/>
          <w:lang w:val="ru-RU" w:eastAsia="ru-RU" w:bidi="ru-RU"/>
        </w:rPr>
        <w:t>прохождение государственной экспертизы проектной документации и результатов инженерных изысканий, включающей проверку достоверности определения сметной стоимости строительства;</w:t>
      </w:r>
    </w:p>
    <w:p>
      <w:pPr>
        <w:pStyle w:val="Style11"/>
        <w:keepNext w:val="0"/>
        <w:keepLines w:val="0"/>
        <w:widowControl w:val="0"/>
        <w:numPr>
          <w:ilvl w:val="0"/>
          <w:numId w:val="3"/>
        </w:numPr>
        <w:shd w:val="clear" w:color="auto" w:fill="auto"/>
        <w:tabs>
          <w:tab w:pos="973" w:val="left"/>
        </w:tabs>
        <w:bidi w:val="0"/>
        <w:spacing w:before="0" w:after="0" w:line="240" w:lineRule="auto"/>
        <w:ind w:left="0" w:right="0" w:firstLine="760"/>
        <w:jc w:val="both"/>
      </w:pPr>
      <w:r>
        <w:rPr>
          <w:color w:val="000000"/>
          <w:spacing w:val="0"/>
          <w:w w:val="100"/>
          <w:position w:val="0"/>
          <w:shd w:val="clear" w:color="auto" w:fill="auto"/>
          <w:lang w:val="ru-RU" w:eastAsia="ru-RU" w:bidi="ru-RU"/>
        </w:rPr>
        <w:t>строительство объекта, включая монтаж оборудования, устройство инженерных систем, выполнение пусконаладочных работ;</w:t>
      </w:r>
    </w:p>
    <w:p>
      <w:pPr>
        <w:pStyle w:val="Style11"/>
        <w:keepNext w:val="0"/>
        <w:keepLines w:val="0"/>
        <w:widowControl w:val="0"/>
        <w:numPr>
          <w:ilvl w:val="0"/>
          <w:numId w:val="3"/>
        </w:numPr>
        <w:shd w:val="clear" w:color="auto" w:fill="auto"/>
        <w:tabs>
          <w:tab w:pos="1022" w:val="left"/>
        </w:tabs>
        <w:bidi w:val="0"/>
        <w:spacing w:before="0" w:after="0" w:line="240" w:lineRule="auto"/>
        <w:ind w:left="0" w:right="0" w:firstLine="760"/>
        <w:jc w:val="both"/>
      </w:pPr>
      <w:r>
        <w:rPr>
          <w:color w:val="000000"/>
          <w:spacing w:val="0"/>
          <w:w w:val="100"/>
          <w:position w:val="0"/>
          <w:shd w:val="clear" w:color="auto" w:fill="auto"/>
          <w:lang w:val="ru-RU" w:eastAsia="ru-RU" w:bidi="ru-RU"/>
        </w:rPr>
        <w:t>проведение тепловизионного контроля с представлением результатов Заказчику;</w:t>
      </w:r>
    </w:p>
    <w:p>
      <w:pPr>
        <w:pStyle w:val="Style11"/>
        <w:keepNext w:val="0"/>
        <w:keepLines w:val="0"/>
        <w:widowControl w:val="0"/>
        <w:numPr>
          <w:ilvl w:val="0"/>
          <w:numId w:val="3"/>
        </w:numPr>
        <w:shd w:val="clear" w:color="auto" w:fill="auto"/>
        <w:tabs>
          <w:tab w:pos="978" w:val="left"/>
        </w:tabs>
        <w:bidi w:val="0"/>
        <w:spacing w:before="0" w:after="0" w:line="240" w:lineRule="auto"/>
        <w:ind w:left="0" w:right="0" w:firstLine="760"/>
        <w:jc w:val="both"/>
      </w:pPr>
      <w:r>
        <w:rPr>
          <w:color w:val="000000"/>
          <w:spacing w:val="0"/>
          <w:w w:val="100"/>
          <w:position w:val="0"/>
          <w:shd w:val="clear" w:color="auto" w:fill="auto"/>
          <w:lang w:val="ru-RU" w:eastAsia="ru-RU" w:bidi="ru-RU"/>
        </w:rPr>
        <w:t>изготовление технических планов и иных документов, необходимых для постановки Объекта и сетей инженерно-технического обеспечения на кадастровый учет;</w:t>
      </w:r>
    </w:p>
    <w:p>
      <w:pPr>
        <w:pStyle w:val="Style11"/>
        <w:keepNext w:val="0"/>
        <w:keepLines w:val="0"/>
        <w:widowControl w:val="0"/>
        <w:numPr>
          <w:ilvl w:val="0"/>
          <w:numId w:val="3"/>
        </w:numPr>
        <w:shd w:val="clear" w:color="auto" w:fill="auto"/>
        <w:tabs>
          <w:tab w:pos="1027" w:val="left"/>
        </w:tabs>
        <w:bidi w:val="0"/>
        <w:spacing w:before="0" w:after="0" w:line="240" w:lineRule="auto"/>
        <w:ind w:left="0" w:right="0" w:firstLine="760"/>
        <w:jc w:val="both"/>
      </w:pPr>
      <w:r>
        <w:rPr>
          <w:color w:val="000000"/>
          <w:spacing w:val="0"/>
          <w:w w:val="100"/>
          <w:position w:val="0"/>
          <w:shd w:val="clear" w:color="auto" w:fill="auto"/>
          <w:lang w:val="ru-RU" w:eastAsia="ru-RU" w:bidi="ru-RU"/>
        </w:rPr>
        <w:t>охрану и содержание Объекта до его передачи Заказчику.</w:t>
      </w:r>
    </w:p>
    <w:p>
      <w:pPr>
        <w:pStyle w:val="Style11"/>
        <w:keepNext w:val="0"/>
        <w:keepLines w:val="0"/>
        <w:widowControl w:val="0"/>
        <w:shd w:val="clear" w:color="auto" w:fill="auto"/>
        <w:bidi w:val="0"/>
        <w:spacing w:before="0" w:after="0" w:line="240" w:lineRule="auto"/>
        <w:ind w:left="0" w:right="0" w:firstLine="760"/>
        <w:jc w:val="both"/>
      </w:pPr>
      <w:r>
        <w:rPr>
          <w:color w:val="000000"/>
          <w:spacing w:val="0"/>
          <w:w w:val="100"/>
          <w:position w:val="0"/>
          <w:shd w:val="clear" w:color="auto" w:fill="auto"/>
          <w:lang w:val="ru-RU" w:eastAsia="ru-RU" w:bidi="ru-RU"/>
        </w:rPr>
        <w:t>Согласно пункту 1.2 проекта контракта результатом выполнения строительно</w:t>
        <w:softHyphen/>
        <w:t xml:space="preserve">монтажных работ по Контракту является построенный объект капитального строительства, в отношении которого получено заключение органа государственного строительного надзора о соответствии построенного объекта капитального строительства требованиям проектной документации и заключение федерального государственного экологического надзора в случаях, предусмотренных </w:t>
      </w:r>
      <w:r>
        <w:rPr>
          <w:color w:val="000080"/>
          <w:spacing w:val="0"/>
          <w:w w:val="100"/>
          <w:position w:val="0"/>
          <w:u w:val="single"/>
          <w:shd w:val="clear" w:color="auto" w:fill="auto"/>
          <w:lang w:val="ru-RU" w:eastAsia="ru-RU" w:bidi="ru-RU"/>
        </w:rPr>
        <w:t>частью 5 статьи 54</w:t>
      </w:r>
      <w:r>
        <w:rPr>
          <w:color w:val="000080"/>
          <w:spacing w:val="0"/>
          <w:w w:val="100"/>
          <w:position w:val="0"/>
          <w:shd w:val="clear" w:color="auto" w:fill="auto"/>
          <w:lang w:val="ru-RU" w:eastAsia="ru-RU" w:bidi="ru-RU"/>
        </w:rPr>
        <w:t xml:space="preserve"> </w:t>
      </w:r>
      <w:r>
        <w:rPr>
          <w:color w:val="000000"/>
          <w:spacing w:val="0"/>
          <w:w w:val="100"/>
          <w:position w:val="0"/>
          <w:shd w:val="clear" w:color="auto" w:fill="auto"/>
          <w:lang w:val="ru-RU" w:eastAsia="ru-RU" w:bidi="ru-RU"/>
        </w:rPr>
        <w:t>Градостроительного кодекса Российской Федерации.</w:t>
      </w:r>
    </w:p>
    <w:p>
      <w:pPr>
        <w:pStyle w:val="Style11"/>
        <w:keepNext w:val="0"/>
        <w:keepLines w:val="0"/>
        <w:widowControl w:val="0"/>
        <w:shd w:val="clear" w:color="auto" w:fill="auto"/>
        <w:bidi w:val="0"/>
        <w:spacing w:before="0" w:after="0" w:line="240" w:lineRule="auto"/>
        <w:ind w:left="0" w:right="0" w:firstLine="760"/>
        <w:jc w:val="both"/>
      </w:pPr>
      <w:r>
        <w:rPr>
          <w:color w:val="000000"/>
          <w:spacing w:val="0"/>
          <w:w w:val="100"/>
          <w:position w:val="0"/>
          <w:shd w:val="clear" w:color="auto" w:fill="auto"/>
          <w:lang w:val="ru-RU" w:eastAsia="ru-RU" w:bidi="ru-RU"/>
        </w:rPr>
        <w:t>Согласно пункту 10.2 части 1 статьи 1 Градостроительного кодекса Российской Федерации (далее - ГрК РФ) некапитальные строения, сооружения - строения, сооружения, которые не имеют прочной связи с землей и конструктивные характеристики которых позволяют осуществить их перемещение и (или) демонтаж и последующую сборку без несоразмерного ущерба назначению и без изменения основных характеристик строений, сооружений (в том числе киосков, навесов и других подобных строений, сооружений).</w:t>
      </w:r>
    </w:p>
    <w:p>
      <w:pPr>
        <w:pStyle w:val="Style11"/>
        <w:keepNext w:val="0"/>
        <w:keepLines w:val="0"/>
        <w:widowControl w:val="0"/>
        <w:shd w:val="clear" w:color="auto" w:fill="auto"/>
        <w:bidi w:val="0"/>
        <w:spacing w:before="0" w:after="0" w:line="240" w:lineRule="auto"/>
        <w:ind w:left="0" w:right="0" w:firstLine="760"/>
        <w:jc w:val="both"/>
      </w:pPr>
      <w:r>
        <w:rPr>
          <w:color w:val="000000"/>
          <w:spacing w:val="0"/>
          <w:w w:val="100"/>
          <w:position w:val="0"/>
          <w:shd w:val="clear" w:color="auto" w:fill="auto"/>
          <w:lang w:val="ru-RU" w:eastAsia="ru-RU" w:bidi="ru-RU"/>
        </w:rPr>
        <w:t>Комиссия отмечает, что описанием объекта закупки предусмотрены следующие</w:t>
      </w:r>
    </w:p>
    <w:p>
      <w:pPr>
        <w:pStyle w:val="Style11"/>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u-RU" w:eastAsia="ru-RU" w:bidi="ru-RU"/>
        </w:rPr>
        <w:t>виды работ:</w:t>
      </w:r>
    </w:p>
    <w:p>
      <w:pPr>
        <w:pStyle w:val="Style11"/>
        <w:keepNext w:val="0"/>
        <w:keepLines w:val="0"/>
        <w:widowControl w:val="0"/>
        <w:numPr>
          <w:ilvl w:val="0"/>
          <w:numId w:val="5"/>
        </w:numPr>
        <w:shd w:val="clear" w:color="auto" w:fill="auto"/>
        <w:tabs>
          <w:tab w:pos="1029"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Поставка оборудования и материалов;</w:t>
      </w:r>
    </w:p>
    <w:p>
      <w:pPr>
        <w:pStyle w:val="Style11"/>
        <w:keepNext w:val="0"/>
        <w:keepLines w:val="0"/>
        <w:widowControl w:val="0"/>
        <w:numPr>
          <w:ilvl w:val="0"/>
          <w:numId w:val="5"/>
        </w:numPr>
        <w:shd w:val="clear" w:color="auto" w:fill="auto"/>
        <w:tabs>
          <w:tab w:pos="1053" w:val="left"/>
        </w:tabs>
        <w:bidi w:val="0"/>
        <w:spacing w:before="0" w:after="0" w:line="240" w:lineRule="auto"/>
        <w:ind w:left="0" w:right="0" w:firstLine="720"/>
        <w:jc w:val="both"/>
      </w:pPr>
      <w:r>
        <w:rPr>
          <w:color w:val="000000"/>
          <w:spacing w:val="0"/>
          <w:w w:val="100"/>
          <w:position w:val="0"/>
          <w:shd w:val="clear" w:color="auto" w:fill="auto"/>
          <w:lang w:val="ru-RU" w:eastAsia="ru-RU" w:bidi="ru-RU"/>
        </w:rPr>
        <w:t>Строительно-монтажные работы;</w:t>
      </w:r>
    </w:p>
    <w:p>
      <w:pPr>
        <w:pStyle w:val="Style11"/>
        <w:keepNext w:val="0"/>
        <w:keepLines w:val="0"/>
        <w:widowControl w:val="0"/>
        <w:numPr>
          <w:ilvl w:val="0"/>
          <w:numId w:val="5"/>
        </w:numPr>
        <w:shd w:val="clear" w:color="auto" w:fill="auto"/>
        <w:tabs>
          <w:tab w:pos="1048"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Выполнение пуско-наладочных работ;</w:t>
      </w:r>
    </w:p>
    <w:p>
      <w:pPr>
        <w:pStyle w:val="Style11"/>
        <w:keepNext w:val="0"/>
        <w:keepLines w:val="0"/>
        <w:widowControl w:val="0"/>
        <w:numPr>
          <w:ilvl w:val="0"/>
          <w:numId w:val="5"/>
        </w:numPr>
        <w:shd w:val="clear" w:color="auto" w:fill="auto"/>
        <w:tabs>
          <w:tab w:pos="1058"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Выполнение режимно-наладочных работ;</w:t>
      </w:r>
    </w:p>
    <w:p>
      <w:pPr>
        <w:pStyle w:val="Style11"/>
        <w:keepNext w:val="0"/>
        <w:keepLines w:val="0"/>
        <w:widowControl w:val="0"/>
        <w:numPr>
          <w:ilvl w:val="0"/>
          <w:numId w:val="5"/>
        </w:numPr>
        <w:shd w:val="clear" w:color="auto" w:fill="auto"/>
        <w:tabs>
          <w:tab w:pos="1048"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Ввод объекта в эксплуатацию.</w:t>
      </w:r>
    </w:p>
    <w:p>
      <w:pPr>
        <w:pStyle w:val="Style11"/>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Также описанием объекта закупки предусмотрено, что наименование и состав проектной документации должны быть разработаны в соответствии с Положением о составе проектной документации и требованиях к их содержанию, утвержденным Постановлением Правительства РФ от 16.02.2008 №87, ГОСТ Р 21.101-2020 «Система проектной документации для строительства. Основные требования к проектной и рабочей документации», с учетом действующих строительных норм и правил, техническими условиями подключения к инженерным сетям и источникам снабжения.</w:t>
      </w:r>
    </w:p>
    <w:p>
      <w:pPr>
        <w:pStyle w:val="Style11"/>
        <w:keepNext w:val="0"/>
        <w:keepLines w:val="0"/>
        <w:widowControl w:val="0"/>
        <w:shd w:val="clear" w:color="auto" w:fill="auto"/>
        <w:bidi w:val="0"/>
        <w:spacing w:before="0" w:after="0" w:line="240" w:lineRule="auto"/>
        <w:ind w:left="0" w:right="0" w:firstLine="720"/>
        <w:jc w:val="both"/>
      </w:pPr>
      <w:r>
        <w:rPr>
          <w:color w:val="000000"/>
          <w:spacing w:val="0"/>
          <w:w w:val="100"/>
          <w:position w:val="0"/>
          <w:u w:val="single"/>
          <w:shd w:val="clear" w:color="auto" w:fill="auto"/>
          <w:lang w:val="ru-RU" w:eastAsia="ru-RU" w:bidi="ru-RU"/>
        </w:rPr>
        <w:t>Разрешение на ввод объекта в эксплуатацию</w:t>
      </w:r>
      <w:r>
        <w:rPr>
          <w:color w:val="000000"/>
          <w:spacing w:val="0"/>
          <w:w w:val="100"/>
          <w:position w:val="0"/>
          <w:shd w:val="clear" w:color="auto" w:fill="auto"/>
          <w:lang w:val="ru-RU" w:eastAsia="ru-RU" w:bidi="ru-RU"/>
        </w:rPr>
        <w:t xml:space="preserve"> представляет собой документ, который </w:t>
      </w:r>
      <w:r>
        <w:rPr>
          <w:color w:val="000000"/>
          <w:spacing w:val="0"/>
          <w:w w:val="100"/>
          <w:position w:val="0"/>
          <w:u w:val="single"/>
          <w:shd w:val="clear" w:color="auto" w:fill="auto"/>
          <w:lang w:val="ru-RU" w:eastAsia="ru-RU" w:bidi="ru-RU"/>
        </w:rPr>
        <w:t>удостоверяет выполнение строительства, реконструкции объекта капитального строительства</w:t>
      </w:r>
      <w:r>
        <w:rPr>
          <w:color w:val="000000"/>
          <w:spacing w:val="0"/>
          <w:w w:val="100"/>
          <w:position w:val="0"/>
          <w:shd w:val="clear" w:color="auto" w:fill="auto"/>
          <w:lang w:val="ru-RU" w:eastAsia="ru-RU" w:bidi="ru-RU"/>
        </w:rPr>
        <w:t xml:space="preserve"> в полном объеме в соответствии с разрешением на строительство, проектной документацией, а также соответствие построенного, реконструированного объекта капитального строительства требованиям к строительству, реконструкции объекта капитального строительства, установленным на дату выдачи представленного для получения разрешения на строительство градостроительного плана земельного участка, разрешенному использованию земельного участка или в случае строительства, реконструкции линейного объекта проекту планировки территории и проекту межевания территории (за исключением случаев, при которых для строительства, реконструкции линейного объекта не требуется подготовка документации по планировке территории), проекту планировки территории в случае выдачи разрешения на ввод в эксплуатацию линейного объекта, для размещения которого не требуется образование земельного участка, а также ограничениям, установленным в соответствии с земельным и иным законодательством Российской Федерации (часть 1 статьи 55 ГрК РФ).</w:t>
      </w:r>
    </w:p>
    <w:p>
      <w:pPr>
        <w:pStyle w:val="Style11"/>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Таким образом, в рамках данной закупки предусматривается не поставка и монтаж блочно-модульной котельной, а комплекс работ, включающий разработку проектной документации, получение положительного заключения Госэкспертизы, ввод объекта в эксплуатацию, что не предусматривается при монтаже некапитального строения.</w:t>
      </w:r>
    </w:p>
    <w:p>
      <w:pPr>
        <w:pStyle w:val="Style11"/>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При этом указано, что фундаменты под котельную, дымовые трубы, подвод всех наружных сетей (газоснабжение, водоснабжение, канализация, электроснабжение, тепловые сети) осуществляются силами Подрядчика.</w:t>
      </w:r>
    </w:p>
    <w:p>
      <w:pPr>
        <w:pStyle w:val="Style11"/>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При формировании технического задания заказчику в рамках закона предоставлены полномочия по самостоятельному определению параметров и характеристик товара, в наибольшей степени удовлетворяющих его потребности.</w:t>
      </w:r>
    </w:p>
    <w:p>
      <w:pPr>
        <w:pStyle w:val="Style11"/>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Вместе с тем Заявителем не представлено доказательств, что в рассматриваемом случае блочно-модульная котельная является некапитальным строением и относится к движимому имуществу, поскольку не связана прочно с землей фундаментом, является мобильной и ее перемещение не приносит несоразмерный ущерб ее назначению.</w:t>
      </w:r>
    </w:p>
    <w:p>
      <w:pPr>
        <w:pStyle w:val="Style11"/>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Также Заявителем не доказано, что при закупке данных работ Заказчиком неправомерно установлены требования к разработке проектной документации, получению положительного заключения Госэкспертизы, вводу объекта в эксплуатацию.</w:t>
      </w:r>
    </w:p>
    <w:p>
      <w:pPr>
        <w:pStyle w:val="Style11"/>
        <w:keepNext w:val="0"/>
        <w:keepLines w:val="0"/>
        <w:widowControl w:val="0"/>
        <w:shd w:val="clear" w:color="auto" w:fill="auto"/>
        <w:bidi w:val="0"/>
        <w:spacing w:before="0" w:after="260" w:line="240" w:lineRule="auto"/>
        <w:ind w:left="0" w:right="0" w:firstLine="720"/>
        <w:jc w:val="both"/>
      </w:pPr>
      <w:r>
        <w:rPr>
          <w:color w:val="000000"/>
          <w:spacing w:val="0"/>
          <w:w w:val="100"/>
          <w:position w:val="0"/>
          <w:shd w:val="clear" w:color="auto" w:fill="auto"/>
          <w:lang w:val="ru-RU" w:eastAsia="ru-RU" w:bidi="ru-RU"/>
        </w:rPr>
        <w:t xml:space="preserve">Таким образом, учитывая, что объектом закупки является объект капитального </w:t>
      </w:r>
      <w:r>
        <w:rPr>
          <w:color w:val="000000"/>
          <w:spacing w:val="0"/>
          <w:w w:val="100"/>
          <w:position w:val="0"/>
          <w:shd w:val="clear" w:color="auto" w:fill="auto"/>
          <w:lang w:val="ru-RU" w:eastAsia="ru-RU" w:bidi="ru-RU"/>
        </w:rPr>
        <w:t>строительства, довод жалобы не находит своего подтверждения.</w:t>
      </w:r>
    </w:p>
    <w:p>
      <w:pPr>
        <w:pStyle w:val="Style11"/>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2. В соответствии с пунктом 12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ЕИС и размещает в ЕИС извещение об осуществлении закупки, содержащее информацию о требованиях, предъявляемых к участникам закупки в соответствии с частями 2 и 2.1 (при наличии таких требований) статьи 31 Закона о контрактной системе, и исчерпывающий перечень документов, подтверждающих соответствие участника закупки таким требованиям, а также требование, предъявляемое к участникам закупки в соответствии с частью 1.1 статьи 31 Закона о контрактной системе (при наличии такого требования).</w:t>
      </w:r>
    </w:p>
    <w:p>
      <w:pPr>
        <w:pStyle w:val="Style11"/>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Согласно пункту 3 части 2 статьи 42 Закона о контрактной системе, извещение об осуществлении закупки должно содержать требования к содержанию, составу заявки на участие в закупке в соответствии с настоящим Федеральным законом и инструкция по ее заполнению.</w:t>
      </w:r>
    </w:p>
    <w:p>
      <w:pPr>
        <w:pStyle w:val="Style11"/>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соответствии с пунктом 1 части 1 статьи 31 Закона о контрактной системе при применении конкурентных способов, при осуществлении закупки у единственного поставщика (подрядчика, исполнителя) в случаях, предусмотренных пунктами 4, 5, 18, 30, 42, 49, 54 и 59 части 1 статьи 93 Закона о контрактной системе, заказчик устанавливает единые требования к участникам закупки, в том числе требование о соответствии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w:t>
      </w:r>
    </w:p>
    <w:p>
      <w:pPr>
        <w:pStyle w:val="Style11"/>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Частью 1 статьи 55.8 ГК РФ установлено, что индивидуальный предприниматель или юридическое лицо имеет право выполнять инженерные изыскания, осуществлять подготовку проектной документации, строительство, реконструкцию, капитальный ремонт, снос объектов капитального строительства по договору подряда на выполнение инженерных изысканий, подготовку проектной документации, по договору строительного подряда, по договору подряда на осуществление сноса, заключенным с застройщиком, техническим заказчиком, лицом, ответственным за эксплуатацию здания, сооружения, или региональным оператором, при условии, что такой индивидуальный предприниматель или такое юридическое лицо является членом соответственно саморегулируемой организации в области инженерных изысканий, архитектурно-строительного проектирования, строительства, реконструкции, капитального ремонта, сноса объектов капитального строительства, если иное не установлено ГК РФ.</w:t>
      </w:r>
    </w:p>
    <w:p>
      <w:pPr>
        <w:pStyle w:val="Style11"/>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извещении о проведении Закупки установлены требование к участникам закупки о членстве в саморегулируемой организации в области строительства, реконструкции, капитального ремонта объектов капитального строительства.</w:t>
      </w:r>
    </w:p>
    <w:p>
      <w:pPr>
        <w:pStyle w:val="Style11"/>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Учитывая, что объект закупки относится к объекту капитального строительства довод о неправомерном установлении требований к участникам закупки о членстве в саморегулируемой организации в области строительства, реконструкции, капитального ремонта объектов капитального строительства, не находит своего подтверждения.</w:t>
      </w:r>
    </w:p>
    <w:p>
      <w:pPr>
        <w:pStyle w:val="Style11"/>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 xml:space="preserve">Заявитель также указывает, что в соответствии со сведениями, размещенными в ЕИС во вкладке «документы» раздела «Извещение, изменение извещения о проведении открытого конкурса в электронной форме» размещен файл «Требование к содержанию заявки» не содержащий требование к участникам закупки о наличии у участников закупки </w:t>
      </w:r>
      <w:r>
        <w:rPr>
          <w:color w:val="000000"/>
          <w:spacing w:val="0"/>
          <w:w w:val="100"/>
          <w:position w:val="0"/>
          <w:shd w:val="clear" w:color="auto" w:fill="auto"/>
          <w:lang w:val="ru-RU" w:eastAsia="ru-RU" w:bidi="ru-RU"/>
        </w:rPr>
        <w:t>членства СРО, вместе с тем во вкладке «общая информация» раздела «преимущества, требования к участникам» требование к членству СРО установлено.</w:t>
      </w:r>
    </w:p>
    <w:p>
      <w:pPr>
        <w:pStyle w:val="Style11"/>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Комиссия отмечает, что извещение об осуществлении закупки содержит требование о том, что в соответствии с пунктом 1 части 1 статьи 31 Закона о контрактной системе участник закупки должен являться членом саморегулируемой организации в области строительства, реконструкции, капитального ремонта объектов капитального строительства. При этом прикреплённый файл «Требование к содержанию заявки» не содержит указание, что электронная форма извещения содержит какую-либо недостоверную информацию, а также не содержит информацию об установлении (не установлении) требований в соответствии с пунктом 1 части 1 статьи 31 Закона о контрактной системе.</w:t>
      </w:r>
    </w:p>
    <w:p>
      <w:pPr>
        <w:pStyle w:val="Style11"/>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Кроме того, в силу подпункта «а» пункта 4 Положения о порядке формирования и размещения информации и документов в единой информационной системе в сфере закупок, о требованиях к их формам, утвержденного Постановлением Правительства Российской Федерации от 27.01.2022 № 60 документы, сформированные без использования единой информационной системы, размещаются в единой информационной системе в форме электронного документа или образа бумажного документа, объем каждого из которых не должен превышать 50 мегабайт, при этом, если информация, содержащаяся в таких электронных документах и (или) образах, не соответствует информации, сформированной с использованием единой информационной системы, приоритет имеет информация, сформированная с использованием единой информационной системы.</w:t>
      </w:r>
    </w:p>
    <w:p>
      <w:pPr>
        <w:pStyle w:val="Style11"/>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Таким образом, утверждение Заявителя, что установление требований вводит потенциальных участников в заблуждение не находит своего подтверждения.</w:t>
      </w:r>
    </w:p>
    <w:p>
      <w:pPr>
        <w:pStyle w:val="Style11"/>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При этом Заявителем доказательств, что установление требований подобным образом нарушило его права и интересы, не предоставил.</w:t>
      </w:r>
    </w:p>
    <w:p>
      <w:pPr>
        <w:pStyle w:val="Style11"/>
        <w:keepNext w:val="0"/>
        <w:keepLines w:val="0"/>
        <w:widowControl w:val="0"/>
        <w:shd w:val="clear" w:color="auto" w:fill="auto"/>
        <w:bidi w:val="0"/>
        <w:spacing w:before="0" w:after="260" w:line="240" w:lineRule="auto"/>
        <w:ind w:left="0" w:right="0" w:firstLine="720"/>
        <w:jc w:val="both"/>
      </w:pPr>
      <w:r>
        <w:rPr>
          <w:color w:val="000000"/>
          <w:spacing w:val="0"/>
          <w:w w:val="100"/>
          <w:position w:val="0"/>
          <w:shd w:val="clear" w:color="auto" w:fill="auto"/>
          <w:lang w:val="ru-RU" w:eastAsia="ru-RU" w:bidi="ru-RU"/>
        </w:rPr>
        <w:t>На основании вышеизложенного, Комиссия Тверского УФАС России приходит к выводу о необоснованности данного довода.</w:t>
      </w:r>
    </w:p>
    <w:p>
      <w:pPr>
        <w:pStyle w:val="Style11"/>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3. Согласно доводу жалобы Заявителя, выполнение работ связано с некапитальным строением и, как следствие, установление возможности предоставления опыта только по капитальному ремонту ведет к необоснованному ограничению количества участников закупки. Кроме того, в отношении детализирующего показателя оценки «общее количество исполненных участником закупки договоров» не установлено предельных значений в отношении цен каждого из предоставляемых контрактов, таким образом, например, представленный одним участником контракт на сумму 100 тысяч рублей, в соответствии с Порядком оценки, будет равен представленному другим участником контракту на сумму 200 млн рублей, аналогично, 10 представленных контрактов, каждый из которых на сумму 10 тысяч рублей, будут оценены выше, чем 5 контрактов, каждый из которых на сумму 1 млрд рублей, таким образом, по мнению ООО «Пегас Эко», Порядок оценки не позволяет объективно определить наилучшее предложение, что нарушает положения статьи 42 Закона о контрактной системе.</w:t>
      </w:r>
    </w:p>
    <w:p>
      <w:pPr>
        <w:pStyle w:val="Style11"/>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 xml:space="preserve">В силу пункта 11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ЕИС, подписывает усиленной электронной подписью лица, имеющего право действовать от имени заказчика, и размещает в ЕИС извещение об осуществлении закупки, содержащее критерии оценки заявок на участие в конкурсах, </w:t>
      </w:r>
      <w:r>
        <w:rPr>
          <w:color w:val="000000"/>
          <w:spacing w:val="0"/>
          <w:w w:val="100"/>
          <w:position w:val="0"/>
          <w:shd w:val="clear" w:color="auto" w:fill="auto"/>
          <w:lang w:val="ru-RU" w:eastAsia="ru-RU" w:bidi="ru-RU"/>
        </w:rPr>
        <w:t>величины значимости этих критериев в соответствии с Законом о контрактной системе.</w:t>
      </w:r>
    </w:p>
    <w:p>
      <w:pPr>
        <w:pStyle w:val="Style11"/>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Согласно пункту 4 части 2 статьи 42 Закона о контрактной системе извещение об осуществлении закупки, если иное не предусмотрено Законом о контрактной системе, должно содержать порядок рассмотрения и оценки заявок на участие в конкурсах в соответствии с Законом о контрактной системе.</w:t>
      </w:r>
    </w:p>
    <w:p>
      <w:pPr>
        <w:pStyle w:val="Style11"/>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соответствии с пунктом 4 части 1 статьи 32 Закона о контрактной системе для оценки заявок участников закупки заказчик использует, в том числе, критерий "Квалификация участников закупки, в том числе наличие у них финансовых ресурсов, на праве собственности или ином законном основании оборудования и других материальных ресурсов, опыта работы, связанного с предметом контракта, и деловой репутации, специалистов и иных работников определенного уровня квалификации".</w:t>
      </w:r>
    </w:p>
    <w:p>
      <w:pPr>
        <w:pStyle w:val="Style11"/>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Частью 8 статьи 32 Закона о контрактной системе установлено, что порядок оценки заявок участников закупки, в том числе предельные величины значимости каждого критерия, устанавливается Правительством Российской Федерации.</w:t>
      </w:r>
    </w:p>
    <w:p>
      <w:pPr>
        <w:pStyle w:val="Style11"/>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Так, постановлением Правительства Российской Федерации от 31.12.2021 № 2604 «Об оценке заявок на участие в закупке товаров, работ, услуг для обеспечения государственных и муниципальных нужд, внесении изменений в пункт 4 постановления Правительства Российской Федерации от 20.12.2021 № 2369 и признании утратившими силу некоторых актов и отдельных положений некоторых актов Правительства Российской Федерации» утверждено положение об оценке заявок на участие в закупке товаров, работ, услуг для обеспечения государственных и муниципальных нужд (далее - Положение).</w:t>
      </w:r>
    </w:p>
    <w:p>
      <w:pPr>
        <w:pStyle w:val="Style11"/>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Согласно пункту 2 Положения «оценка заявок» - действия членов комиссии по осуществлению закупок по присвоению в случаях, предусмотренных Законом о контрактной системе, и в соответствии с Положением баллов заявкам (частям заявок) на основании информации и документов участников закупок.</w:t>
      </w:r>
    </w:p>
    <w:p>
      <w:pPr>
        <w:pStyle w:val="Style11"/>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На основании подпункта «г» пункта 3 Положения для оценки заявок в соответствии с Положением применяется критерий «Квалификация участников закупки».</w:t>
      </w:r>
    </w:p>
    <w:p>
      <w:pPr>
        <w:pStyle w:val="Style11"/>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Согласно пункту 8 Положения в случае применения показателей оценки по критерию оценки, предусмотренному подпунктом «г» пункта 3 Положения:</w:t>
      </w:r>
    </w:p>
    <w:p>
      <w:pPr>
        <w:pStyle w:val="Style11"/>
        <w:keepNext w:val="0"/>
        <w:keepLines w:val="0"/>
        <w:widowControl w:val="0"/>
        <w:numPr>
          <w:ilvl w:val="0"/>
          <w:numId w:val="7"/>
        </w:numPr>
        <w:shd w:val="clear" w:color="auto" w:fill="auto"/>
        <w:tabs>
          <w:tab w:pos="1055"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применяются детализирующие показатели;</w:t>
      </w:r>
    </w:p>
    <w:p>
      <w:pPr>
        <w:pStyle w:val="Style11"/>
        <w:keepNext w:val="0"/>
        <w:keepLines w:val="0"/>
        <w:widowControl w:val="0"/>
        <w:numPr>
          <w:ilvl w:val="0"/>
          <w:numId w:val="7"/>
        </w:numPr>
        <w:shd w:val="clear" w:color="auto" w:fill="auto"/>
        <w:tabs>
          <w:tab w:pos="1070"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в отношении каждого детализирующего показателя устанавливается значимость детализирующего показателя. Сумма величин значимости всех применяемых детализирующих показателей по показателю оценки составляет 100 процентов;</w:t>
      </w:r>
    </w:p>
    <w:p>
      <w:pPr>
        <w:pStyle w:val="Style11"/>
        <w:keepNext w:val="0"/>
        <w:keepLines w:val="0"/>
        <w:widowControl w:val="0"/>
        <w:numPr>
          <w:ilvl w:val="0"/>
          <w:numId w:val="7"/>
        </w:numPr>
        <w:shd w:val="clear" w:color="auto" w:fill="auto"/>
        <w:tabs>
          <w:tab w:pos="1060"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оценка заявки (части заявки) по показателю оценки определяется путем суммирования среднего количества баллов, присвоенных всеми принимавшими участие в ее рассмотрении и оценке членами комиссии по осуществлению закупок по каждому детализирующему показателю, умноженного на значимость соответствующего детализирующего показателя. При этом среднее количество баллов определяется путем суммирования количества баллов, присвоенных каждым членом комиссии по осуществлению закупок, и последующего деления на количество таких членов.</w:t>
      </w:r>
    </w:p>
    <w:p>
      <w:pPr>
        <w:pStyle w:val="Style11"/>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Подпунктом «в» пункта 24 Положения установлено, что для оценки заявок по критерию оценки «Квалификация участников закупки» может применяться, если иное не предусмотрено Положением, показатель оценки «Наличие у участников закупки опыта поставки товара, выполнения работы, оказания услуги, связанного с предметом контракта».</w:t>
      </w:r>
    </w:p>
    <w:p>
      <w:pPr>
        <w:pStyle w:val="Style11"/>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силу пункта 28 Положения в случае применения показателя оценки, предусмотренного подпунктом «в» пункта 24 Положения:</w:t>
      </w:r>
    </w:p>
    <w:p>
      <w:pPr>
        <w:pStyle w:val="Style11"/>
        <w:keepNext w:val="0"/>
        <w:keepLines w:val="0"/>
        <w:widowControl w:val="0"/>
        <w:numPr>
          <w:ilvl w:val="0"/>
          <w:numId w:val="9"/>
        </w:numPr>
        <w:shd w:val="clear" w:color="auto" w:fill="auto"/>
        <w:tabs>
          <w:tab w:pos="1058"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применяются один или несколько из следующих детализирующих показателей оценки:</w:t>
      </w:r>
    </w:p>
    <w:p>
      <w:pPr>
        <w:pStyle w:val="Style11"/>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общая цена исполненных участником закупки договоров;</w:t>
      </w:r>
    </w:p>
    <w:p>
      <w:pPr>
        <w:pStyle w:val="Style11"/>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общее количество исполненных участником закупки договоров;</w:t>
      </w:r>
    </w:p>
    <w:p>
      <w:pPr>
        <w:pStyle w:val="Style11"/>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наибольшая цена одного из исполненных участником закупки договоров;</w:t>
      </w:r>
    </w:p>
    <w:p>
      <w:pPr>
        <w:pStyle w:val="Style11"/>
        <w:keepNext w:val="0"/>
        <w:keepLines w:val="0"/>
        <w:widowControl w:val="0"/>
        <w:numPr>
          <w:ilvl w:val="0"/>
          <w:numId w:val="9"/>
        </w:numPr>
        <w:shd w:val="clear" w:color="auto" w:fill="auto"/>
        <w:tabs>
          <w:tab w:pos="1077"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оценка заявок по детализирующим показателям, предусмотренным подпунктом «а» пункта 28 Положения, осуществляется в порядке, установленном пунктами 20 и 21 Положения, применение шкалы оценки не допускается;</w:t>
      </w:r>
    </w:p>
    <w:p>
      <w:pPr>
        <w:pStyle w:val="Style11"/>
        <w:keepNext w:val="0"/>
        <w:keepLines w:val="0"/>
        <w:widowControl w:val="0"/>
        <w:numPr>
          <w:ilvl w:val="0"/>
          <w:numId w:val="9"/>
        </w:numPr>
        <w:shd w:val="clear" w:color="auto" w:fill="auto"/>
        <w:tabs>
          <w:tab w:pos="1752"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документом, предусмотренным приложением № 1 к Положению:</w:t>
      </w:r>
    </w:p>
    <w:p>
      <w:pPr>
        <w:pStyle w:val="Style11"/>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устанавливается предмет договора (договоров), оцениваемого по каждому детализирующему показателю, сопоставимый с предметом контракта, заключаемого по результатам определения поставщика (подрядчика, исполнителя);</w:t>
      </w:r>
    </w:p>
    <w:p>
      <w:pPr>
        <w:pStyle w:val="Style11"/>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устанавливается перечень документов, подтверждающих наличие у участника закупки опыта поставки товара, выполнения работы, оказания услуги, связанного с предметом контракта, в том числе исполненный договор (договоры), акт (акты) приемки поставленного товара, выполненных работ, оказанных услуг, составленные при исполнении такого договора (договоров);</w:t>
      </w:r>
    </w:p>
    <w:p>
      <w:pPr>
        <w:pStyle w:val="Style11"/>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может быть установлено положение о принятии к оценке исключительно исполненного договора (договоров), при исполнении которого поставщиком (подрядчиком, исполнителем) исполнены требования об уплате неустоек (штрафов, пеней) (в случае начисления неустоек);</w:t>
      </w:r>
    </w:p>
    <w:p>
      <w:pPr>
        <w:pStyle w:val="Style11"/>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может быть установлено положение о принятии к оценке исключительно контракта, заключенного и исполненного в соответствии с Федеральным законом, и договора, заключенного и исполненного в соответствии с Федеральным законом «О закупках товаров, работ, услуг отдельными видами юридических лиц»;</w:t>
      </w:r>
    </w:p>
    <w:p>
      <w:pPr>
        <w:pStyle w:val="Style11"/>
        <w:keepNext w:val="0"/>
        <w:keepLines w:val="0"/>
        <w:widowControl w:val="0"/>
        <w:numPr>
          <w:ilvl w:val="0"/>
          <w:numId w:val="9"/>
        </w:numPr>
        <w:shd w:val="clear" w:color="auto" w:fill="auto"/>
        <w:tabs>
          <w:tab w:pos="1053"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последний акт, составленный при исполнении договора и предусмотренный абзацем третьим подпункта «в» пункта 28 Положения, должен быть подписан не ранее чем за 5 лет до даты окончания срока подачи заявок.</w:t>
      </w:r>
    </w:p>
    <w:p>
      <w:pPr>
        <w:pStyle w:val="Style11"/>
        <w:keepNext w:val="0"/>
        <w:keepLines w:val="0"/>
        <w:widowControl w:val="0"/>
        <w:numPr>
          <w:ilvl w:val="0"/>
          <w:numId w:val="9"/>
        </w:numPr>
        <w:shd w:val="clear" w:color="auto" w:fill="auto"/>
        <w:tabs>
          <w:tab w:pos="1072"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к оценке принимаются исполненные участником закупки с учетом правопреемства (в случае наличия в заявке подтверждающего документа) гражданско-правовые договоры;</w:t>
      </w:r>
    </w:p>
    <w:p>
      <w:pPr>
        <w:pStyle w:val="Style11"/>
        <w:keepNext w:val="0"/>
        <w:keepLines w:val="0"/>
        <w:widowControl w:val="0"/>
        <w:numPr>
          <w:ilvl w:val="0"/>
          <w:numId w:val="9"/>
        </w:numPr>
        <w:shd w:val="clear" w:color="auto" w:fill="auto"/>
        <w:tabs>
          <w:tab w:pos="1062"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к оценке принимаются документы, предусмотренные абзацем третьим подпункта «в» настоящего пункта, в случае их представления в заявке в полном объеме и со всеми приложениями, за исключением случаев, предусмотренных подпунктом «д» пункта 31, подпунктом «г» пункта 32 и подпунктом «г» пункта 33 настоящего Положения. При проведении открытого конкурса в электронной форме или закрытого конкурса в электронной форме такие документы направляются в форме электронных документов или в форме электронных образов бумажных документов. При проведении закрытого конкурса направляются документы или заверенные участником закупки их копии;</w:t>
      </w:r>
    </w:p>
    <w:p>
      <w:pPr>
        <w:pStyle w:val="Style11"/>
        <w:keepNext w:val="0"/>
        <w:keepLines w:val="0"/>
        <w:widowControl w:val="0"/>
        <w:numPr>
          <w:ilvl w:val="0"/>
          <w:numId w:val="9"/>
        </w:numPr>
        <w:shd w:val="clear" w:color="auto" w:fill="auto"/>
        <w:tabs>
          <w:tab w:pos="1130"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если документы, предусмотренные абзацем третьим подпункта «в» настоящего пункта, и информация о таких документах содержатся в открытых и общедоступных государственных реестрах, размещенных в информационно-телекоммуникационной сети «Интернет», в том числе ведение которых осуществляется в единой информационной системе в сфере закупок с размещением указанных документов на официальном сайте единой информационной системы в сфере закупок в информационно</w:t>
        <w:softHyphen/>
        <w:t>телекоммуникационной сети «Интернет», вместо направления таких документов участник закупки вправе направить номер реестровой записи из соответствующего реестра.</w:t>
      </w:r>
    </w:p>
    <w:p>
      <w:pPr>
        <w:pStyle w:val="Style11"/>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Согласно подпункту «б» пункта 20 Положения, в случае, если лучшим является наибольшее значение характеристики объекта закупки, то значение количества баллов по детализирующему показателю, присваиваемых заявке, рассчитывается по формуле:</w:t>
      </w:r>
    </w:p>
    <w:p>
      <w:pPr>
        <w:pStyle w:val="Style11"/>
        <w:keepNext w:val="0"/>
        <w:keepLines w:val="0"/>
        <w:widowControl w:val="0"/>
        <w:shd w:val="clear" w:color="auto" w:fill="auto"/>
        <w:bidi w:val="0"/>
        <w:spacing w:before="0" w:after="0" w:line="240" w:lineRule="auto"/>
        <w:ind w:left="720" w:right="0" w:firstLine="20"/>
        <w:jc w:val="both"/>
      </w:pPr>
      <w:r>
        <w:rPr>
          <w:color w:val="000000"/>
          <w:spacing w:val="0"/>
          <w:w w:val="100"/>
          <w:position w:val="0"/>
          <w:shd w:val="clear" w:color="auto" w:fill="auto"/>
          <w:lang w:val="ru-RU" w:eastAsia="ru-RU" w:bidi="ru-RU"/>
        </w:rPr>
        <w:t>БХ1 = (ХьХтт)*100/(Хтах-Хтт), где:</w:t>
      </w:r>
    </w:p>
    <w:p>
      <w:pPr>
        <w:pStyle w:val="Style11"/>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Хтах - максимальное значение содержащееся в заявках (частях заявок), подлежащих в соответствии с Законом о контрактной системе;</w:t>
      </w:r>
    </w:p>
    <w:p>
      <w:pPr>
        <w:pStyle w:val="Style11"/>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Х1 - значение, содержащееся в предложении участника закупки, заявка (часть заявки) которого подлежит в соответствии с Законом о контрактной системе;</w:t>
      </w:r>
    </w:p>
    <w:p>
      <w:pPr>
        <w:pStyle w:val="Style11"/>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Хтт - минимальное значение, содержащееся в заявках (частях заявок), подлежащих в соответствии с Законом о контрактной системе.</w:t>
      </w:r>
    </w:p>
    <w:p>
      <w:pPr>
        <w:pStyle w:val="Style11"/>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Комиссия отмечает, что выполняемые работы по рассматриваемой закупке относятся к работам по строительству, реконструкции объекта капитального строительства, за исключением линейного объекта, в связи с чем в порядке рассмотрения и оценки заявок на участие в конкурсе по показателю оценки «наличие у участников закупки опыта поставки товара, выполнения работы, оказания услуги, связанного с предметом контракта» правомерно установлено положение о том, что к оценке принимается исключительно исполненный договор (договоры), предусматривающий выполнение работ по строительству, реконструкции объекта капитального строительства (за исключением линейного объекта).</w:t>
      </w:r>
    </w:p>
    <w:p>
      <w:pPr>
        <w:pStyle w:val="Style11"/>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Представитель Уполномоченного органа на заседании Комиссии пояснил, что установленный Порядок оценки позволяет выявить наилучшие условия исполнения контракта, формула установлена заказчиком в порядке оценки заявок для оценки заявок по детализирующим показателям в соответствии с подпунктом «б» пункта 2( Положения. Формулы оценки, предусмотренные пунктом 2( Положения, предусматривают оценку с учетом того, какое значение является для заказчика наилучшим (наибольшее, например, размер опыта). Заказчик самостоятельно выбирает формулу из числа предусмотренных пунктом 2( Положения.</w:t>
      </w:r>
    </w:p>
    <w:p>
      <w:pPr>
        <w:pStyle w:val="Style11"/>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В определении Верховного Суда Российской Федерации от 11.(7.2(19 № 3(8-ЭС19- 11278 изложена следующая правовая позиция: «Нестоимостные критерии оценки не являются единственным и обязательным условием участия к конкурсе, не предрешает исход закупки, не создает преимущества конкретному лицу, а направлены, прежде всего, на выбор победителем конкурса лица, наиболее соответствующего потребностям заказчика».</w:t>
      </w:r>
    </w:p>
    <w:p>
      <w:pPr>
        <w:pStyle w:val="Style11"/>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Стремление Заказчика выявить наиболее профессионального и конкурентоспособного участника не может свидетельствовать об ограничении допуска к участию в закупке и не может рассматриваться как несоответствие целям правового регулирования контрактной системы в сфере закупок для государственных и муниципальных нужд. Кроме того, Заявителем в составе жалобы не приложены доказательства, указывающие на ограничение его прав или невозможность подать заявку на участие в конкурсе.</w:t>
      </w:r>
    </w:p>
    <w:p>
      <w:pPr>
        <w:pStyle w:val="Style11"/>
        <w:keepNext w:val="0"/>
        <w:keepLines w:val="0"/>
        <w:widowControl w:val="0"/>
        <w:shd w:val="clear" w:color="auto" w:fill="auto"/>
        <w:bidi w:val="0"/>
        <w:spacing w:before="0" w:after="260" w:line="240" w:lineRule="auto"/>
        <w:ind w:left="0" w:right="0" w:firstLine="740"/>
        <w:jc w:val="both"/>
      </w:pPr>
      <w:r>
        <w:rPr>
          <w:color w:val="000000"/>
          <w:spacing w:val="0"/>
          <w:w w:val="100"/>
          <w:position w:val="0"/>
          <w:shd w:val="clear" w:color="auto" w:fill="auto"/>
          <w:lang w:val="ru-RU" w:eastAsia="ru-RU" w:bidi="ru-RU"/>
        </w:rPr>
        <w:t>Комиссия, изучив вышеуказанный порядок рассмотрения и оценки заявок на участие в Конкурсе, приходит к выводу, что установленный Заказчиком, Уполномоченным органом Порядок оценки не противоречит требованиям Положения и Закона о контрактной системе.</w:t>
      </w:r>
    </w:p>
    <w:p>
      <w:pPr>
        <w:pStyle w:val="Style11"/>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22.(1.2(25 от Заявителя поступили дополнительные доводы жалобы.</w:t>
      </w:r>
    </w:p>
    <w:p>
      <w:pPr>
        <w:pStyle w:val="Style11"/>
        <w:keepNext w:val="0"/>
        <w:keepLines w:val="0"/>
        <w:widowControl w:val="0"/>
        <w:shd w:val="clear" w:color="auto" w:fill="auto"/>
        <w:bidi w:val="0"/>
        <w:spacing w:before="0" w:after="260" w:line="240" w:lineRule="auto"/>
        <w:ind w:left="0" w:right="0" w:firstLine="720"/>
        <w:jc w:val="both"/>
      </w:pPr>
      <w:r>
        <w:rPr>
          <w:color w:val="000000"/>
          <w:spacing w:val="0"/>
          <w:w w:val="100"/>
          <w:position w:val="0"/>
          <w:shd w:val="clear" w:color="auto" w:fill="auto"/>
          <w:lang w:val="ru-RU" w:eastAsia="ru-RU" w:bidi="ru-RU"/>
        </w:rPr>
        <w:t xml:space="preserve">Комиссия отмечает, что указанные дополнения поступили после окончания </w:t>
      </w:r>
      <w:r>
        <w:rPr>
          <w:color w:val="000000"/>
          <w:spacing w:val="0"/>
          <w:w w:val="100"/>
          <w:position w:val="0"/>
          <w:shd w:val="clear" w:color="auto" w:fill="auto"/>
          <w:lang w:val="ru-RU" w:eastAsia="ru-RU" w:bidi="ru-RU"/>
        </w:rPr>
        <w:t>регламентированного срока подачи заявок на участие в настоящем электронном аукционе (то есть уже после окончания предусмотренного частью 4 статьи 105 Закона о контрактной системе срока для подачи жалобы на положения извещения о проведении электронных процедур), вместе с тем в рамках внеплановой проверки Комиссия считает возможным указать следующее.</w:t>
      </w:r>
    </w:p>
    <w:p>
      <w:pPr>
        <w:pStyle w:val="Style11"/>
        <w:keepNext w:val="0"/>
        <w:keepLines w:val="0"/>
        <w:widowControl w:val="0"/>
        <w:numPr>
          <w:ilvl w:val="1"/>
          <w:numId w:val="11"/>
        </w:numPr>
        <w:shd w:val="clear" w:color="auto" w:fill="auto"/>
        <w:tabs>
          <w:tab w:pos="1169"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Заявитель указывает, что оценка заявок по квалификационному критерию без указания предельного максимального количественного значения оцениваемого признака приводит к ограничению конкуренции при проведении конкурсной процедуры, поскольку лишает возможности участников закупки, не имеющих избыточного опыта, конкурировать по ценовым и иным неценовым критериям с участником, имеющим такой избыточный опыт.</w:t>
      </w:r>
    </w:p>
    <w:p>
      <w:pPr>
        <w:pStyle w:val="Style11"/>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Комиссия, как указано в пункте 3 мотивировочной части данного решения, приходит к выводу о соответствии порядка оценки по детализирующему показателю оценки требованиям Положения и Закона о контрактной системе.</w:t>
      </w:r>
    </w:p>
    <w:p>
      <w:pPr>
        <w:pStyle w:val="Style11"/>
        <w:keepNext w:val="0"/>
        <w:keepLines w:val="0"/>
        <w:widowControl w:val="0"/>
        <w:numPr>
          <w:ilvl w:val="1"/>
          <w:numId w:val="11"/>
        </w:numPr>
        <w:shd w:val="clear" w:color="auto" w:fill="auto"/>
        <w:tabs>
          <w:tab w:pos="1169"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Заявитель указывает, что в составе Извещения не обнаружены установленные виды и объемы работ, выполняемых подрядчиком самостоятельно в соответствии Постановлением Правительства Российской Федерации от 15.05.2017 № 570 (далее - Постановление № 570)</w:t>
      </w:r>
    </w:p>
    <w:p>
      <w:pPr>
        <w:pStyle w:val="Style11"/>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Постановлением № 570 установлены виды и объемы работ по строительству, реконструкции объектов капитального строительства на территории Российской Федерации, которые подрядчик обязан выполнить самостоятельно без привлечения других лиц к исполнению своих обязательств по государственному и (или) муниципальному контрактам.</w:t>
      </w:r>
    </w:p>
    <w:p>
      <w:pPr>
        <w:pStyle w:val="Style11"/>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Пунктом 2 Постановления № 570 установлено, что:</w:t>
      </w:r>
    </w:p>
    <w:p>
      <w:pPr>
        <w:pStyle w:val="Style11"/>
        <w:keepNext w:val="0"/>
        <w:keepLines w:val="0"/>
        <w:widowControl w:val="0"/>
        <w:numPr>
          <w:ilvl w:val="0"/>
          <w:numId w:val="13"/>
        </w:numPr>
        <w:shd w:val="clear" w:color="auto" w:fill="auto"/>
        <w:tabs>
          <w:tab w:pos="1172" w:val="left"/>
        </w:tabs>
        <w:bidi w:val="0"/>
        <w:spacing w:before="0" w:after="0" w:line="240" w:lineRule="auto"/>
        <w:ind w:left="0" w:right="0" w:firstLine="860"/>
        <w:jc w:val="both"/>
      </w:pPr>
      <w:r>
        <w:rPr>
          <w:color w:val="000000"/>
          <w:spacing w:val="0"/>
          <w:w w:val="100"/>
          <w:position w:val="0"/>
          <w:shd w:val="clear" w:color="auto" w:fill="auto"/>
          <w:lang w:val="ru-RU" w:eastAsia="ru-RU" w:bidi="ru-RU"/>
        </w:rPr>
        <w:t>возможные виды и объемы работ по строительству, реконструкции объектов капитального строительства на территории Российской Федерации из числа видов работ, утвержденных настоящим постановлением, которые подрядчик обязан выполнить самостоятельно без привлечения других лиц к исполнению своих обязательств по государственному и (или) муниципальному контрактам, подлежат включению заказчиком в документацию о закупке;</w:t>
      </w:r>
    </w:p>
    <w:p>
      <w:pPr>
        <w:pStyle w:val="Style11"/>
        <w:keepNext w:val="0"/>
        <w:keepLines w:val="0"/>
        <w:widowControl w:val="0"/>
        <w:numPr>
          <w:ilvl w:val="0"/>
          <w:numId w:val="13"/>
        </w:numPr>
        <w:shd w:val="clear" w:color="auto" w:fill="auto"/>
        <w:tabs>
          <w:tab w:pos="1169"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конкретные виды и объемы работ из числа видов и объемов работ, предусмотренных подпунктом «а» настоящего пункта, определенные по предложению подрядчика, включаются в государственный и (или) муниципальный контракт и исходя из сметной стоимости этих работ, предусмотренной проектной документацией, в совокупном стоимостном выражении должны составлять не менее 25 процентов цены государственного контракта.</w:t>
      </w:r>
    </w:p>
    <w:p>
      <w:pPr>
        <w:pStyle w:val="Style11"/>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Предметом контракта по проводимой закупке является выполнение работ по подготовке проектной документации и выполнение инженерных изысканий, выполнение работ по строительству объекта.</w:t>
      </w:r>
    </w:p>
    <w:p>
      <w:pPr>
        <w:pStyle w:val="Style11"/>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Таким образом, заказчиком осуществляется закупка на основании части 56 статьи 112 Закона о контрактной системе, то есть предметом контракта одновременно являются работы по подготовке проектной документации и строительству.</w:t>
      </w:r>
    </w:p>
    <w:p>
      <w:pPr>
        <w:pStyle w:val="Style11"/>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 xml:space="preserve">Пунктом 2 части 60 статьи 112 Закона о контрактной системе установлено, что при исполнении контракта, указанного в части 56 статьи 112 Закона о контрактной системе, с учетом особенностей, предусмотренных частями 61 - 63 статьи 112 Закона о контрактной </w:t>
      </w:r>
      <w:r>
        <w:rPr>
          <w:color w:val="000000"/>
          <w:spacing w:val="0"/>
          <w:w w:val="100"/>
          <w:position w:val="0"/>
          <w:shd w:val="clear" w:color="auto" w:fill="auto"/>
          <w:lang w:val="ru-RU" w:eastAsia="ru-RU" w:bidi="ru-RU"/>
        </w:rPr>
        <w:t>системе к условиям такого контракта, предусматривающим выполнение работ по строительству, реконструкции объекта капитального строительства, применяются положения Закона о контрактной системе о контракте, предметом которого являются строительство, реконструкция, капитальный ремонт объектов капитального строительства</w:t>
      </w:r>
    </w:p>
    <w:p>
      <w:pPr>
        <w:pStyle w:val="Style11"/>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Представитель Уполномоченного органа пояснил, что в рамках проведения конкурса проектная документация будет разработана лишь на этапе исполнения контракта. Кроме того, исчерпывающий и объективный перечень возможных видов и объемов работ по строительству, которые могут быть востребованы при исполнении контракта на момент формирования извещения об осуществлении закупки, заказчику не известен.</w:t>
      </w:r>
    </w:p>
    <w:p>
      <w:pPr>
        <w:pStyle w:val="Style11"/>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При этом пункты в 5.2.7 и 5.2.8 проекта контракта, размещенного в составе извещения, содержат условия о том. что подрядчик обязан течение 10 рабочих дней со дня получения проектной документации от заказчика со штампом «В производство работ», предоставить на утверждение заказчику сметный расчет стоимости конкретных видов и объемов строительномонтажных работ, определенных из числа видов и объемов работ, предусмотренных проектно-сметной документацией, в соответствии с Постановлением № 570. Стоимость указанных работ должна быть не менее 25 процентов цены контракта. Подрядчик обязуется выполнить самостоятельно без привлечения других лиц к исполнению своих обязательств по контракту виды и объемы строительно-монтажных работ, указанных в утвержденном заказчиком Приложении № 8 к контракту, являющимся его неотъемлемой частью, определенных из числа видов и объемов работ в соответствии с Постановлением № 570.</w:t>
      </w:r>
    </w:p>
    <w:p>
      <w:pPr>
        <w:pStyle w:val="Style11"/>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Учитывая изложенное, Комиссия приходит к выводу, что указанные действия Заказчика не противоречат требованиям Закона о контрактной системе.</w:t>
      </w:r>
    </w:p>
    <w:p>
      <w:pPr>
        <w:pStyle w:val="Style11"/>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Вместе с тем представитель Заявителя на заседании Комиссии не представил доказательств, свидетельствующих об обратном.</w:t>
      </w:r>
    </w:p>
    <w:p>
      <w:pPr>
        <w:pStyle w:val="Style11"/>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Таким образом, довод Заявителя не нашел своего подтверждения.</w:t>
      </w:r>
    </w:p>
    <w:p>
      <w:pPr>
        <w:pStyle w:val="Style11"/>
        <w:keepNext w:val="0"/>
        <w:keepLines w:val="0"/>
        <w:widowControl w:val="0"/>
        <w:numPr>
          <w:ilvl w:val="1"/>
          <w:numId w:val="11"/>
        </w:numPr>
        <w:shd w:val="clear" w:color="auto" w:fill="auto"/>
        <w:tabs>
          <w:tab w:pos="1157"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Заявитель указывает, что Заказчиком, Уполномоченным органом в структурированной форме ЕИС не установлены характеристики объекта закупки, указанные в пункте 1 части 1 статьи 33 Закона о контрактной системе, что нарушает положения пункта 7 правил использования КТРУ, утвержденных постановлением Правительства Российской Федерации от 08.02.2017 № 145 «Об утверждений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и Правил использования каталога товаров, работ, услуг для обеспечения государственных и муниципальных нужд».</w:t>
      </w:r>
    </w:p>
    <w:p>
      <w:pPr>
        <w:pStyle w:val="Style11"/>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Объектом закупки является выполнение работ по подготовке проектной документации и выполнение инженерных изысканий, выполнение работ по строительству объекта.</w:t>
      </w:r>
    </w:p>
    <w:p>
      <w:pPr>
        <w:pStyle w:val="Style11"/>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Как указал Уполномоченный орган, согласно разъяснениям Министерства финансов Российской Федерации и Федерального казначейства участник закупки заполняет в структурированной заявке характеристики исключительно на товар. При закупках работ и услуг указывать характеристики в заявке не требуется. Факт подачи заявки является согласием на их выполнение и оказание. В функционале ЕИС для заказчика исключили инструкцию в структурированном виде при описании объекта закупки на выполнение работ, оказание услуг в рамках доработок ЕИС в 2023 году (письмо Минфина от 03.11.2023 24-03-06/105479, письмо Федерального казначейства от 26.10.2023 № 14-00-04/31290).</w:t>
      </w:r>
    </w:p>
    <w:p>
      <w:pPr>
        <w:pStyle w:val="Style11"/>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Таким образом, учитывая, что в рамках Закупки не предусматривается поставка товара, довод Заявителя не нашел своего подтверждения.</w:t>
      </w:r>
    </w:p>
    <w:p>
      <w:pPr>
        <w:pStyle w:val="Style11"/>
        <w:keepNext w:val="0"/>
        <w:keepLines w:val="0"/>
        <w:widowControl w:val="0"/>
        <w:numPr>
          <w:ilvl w:val="1"/>
          <w:numId w:val="11"/>
        </w:numPr>
        <w:shd w:val="clear" w:color="auto" w:fill="auto"/>
        <w:tabs>
          <w:tab w:pos="1175"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Заявитель указывает, что значимость показателя оценки установлена по 100% в отношении каждого из двух показателей оценки по критерию «Квалификация участников закупки», тоже самое касается значимости критерия «Квалификация участников закупки», установлено по 40%, что может ввести в заблуждение участников закупки.</w:t>
      </w:r>
    </w:p>
    <w:p>
      <w:pPr>
        <w:pStyle w:val="Style11"/>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соответствии с требованиями Закона о контрактной системе и Положения в извещении о проведении открытого конкурса в электронной форме для оценки заявок участников закупки заказчиком были установлены следующие критерии оценки и величины значимости этих критериев:</w:t>
      </w:r>
    </w:p>
    <w:p>
      <w:pPr>
        <w:pStyle w:val="Style11"/>
        <w:keepNext w:val="0"/>
        <w:keepLines w:val="0"/>
        <w:widowControl w:val="0"/>
        <w:numPr>
          <w:ilvl w:val="0"/>
          <w:numId w:val="15"/>
        </w:numPr>
        <w:shd w:val="clear" w:color="auto" w:fill="auto"/>
        <w:tabs>
          <w:tab w:pos="1418" w:val="left"/>
        </w:tabs>
        <w:bidi w:val="0"/>
        <w:spacing w:before="0" w:after="0" w:line="240" w:lineRule="auto"/>
        <w:ind w:left="0" w:right="0" w:firstLine="720"/>
        <w:jc w:val="both"/>
      </w:pPr>
      <w:r>
        <w:rPr>
          <w:color w:val="000000"/>
          <w:spacing w:val="0"/>
          <w:w w:val="100"/>
          <w:position w:val="0"/>
          <w:shd w:val="clear" w:color="auto" w:fill="auto"/>
          <w:lang w:val="ru-RU" w:eastAsia="ru-RU" w:bidi="ru-RU"/>
        </w:rPr>
        <w:t>Цена контракта (значимость критерия - 60 %):</w:t>
      </w:r>
    </w:p>
    <w:p>
      <w:pPr>
        <w:pStyle w:val="Style11"/>
        <w:keepNext w:val="0"/>
        <w:keepLines w:val="0"/>
        <w:widowControl w:val="0"/>
        <w:numPr>
          <w:ilvl w:val="0"/>
          <w:numId w:val="15"/>
        </w:numPr>
        <w:shd w:val="clear" w:color="auto" w:fill="auto"/>
        <w:tabs>
          <w:tab w:pos="1418"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Квалификация участников закупки (значимость критерия - 40 %). Показателем критерия «Квалификация участников закупки» установлен показатель «Наличие у участников закупки опыта поставки товара, выполнения работы, оказания услуги, связанного с предметом контракта». В качестве детализирующих показателей оценки установлены следующие показатели:</w:t>
      </w:r>
    </w:p>
    <w:p>
      <w:pPr>
        <w:pStyle w:val="Style11"/>
        <w:keepNext w:val="0"/>
        <w:keepLines w:val="0"/>
        <w:widowControl w:val="0"/>
        <w:numPr>
          <w:ilvl w:val="0"/>
          <w:numId w:val="17"/>
        </w:numPr>
        <w:shd w:val="clear" w:color="auto" w:fill="auto"/>
        <w:tabs>
          <w:tab w:pos="1418"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Общая цена исполненных участником закупки договоров:</w:t>
      </w:r>
    </w:p>
    <w:p>
      <w:pPr>
        <w:pStyle w:val="Style11"/>
        <w:keepNext w:val="0"/>
        <w:keepLines w:val="0"/>
        <w:widowControl w:val="0"/>
        <w:numPr>
          <w:ilvl w:val="0"/>
          <w:numId w:val="17"/>
        </w:numPr>
        <w:shd w:val="clear" w:color="auto" w:fill="auto"/>
        <w:tabs>
          <w:tab w:pos="1418"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Общее количество исполненных участником закупки договора.</w:t>
      </w:r>
    </w:p>
    <w:p>
      <w:pPr>
        <w:pStyle w:val="Style11"/>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Порядком рассмотрения и оценки заявок на участие в конкурсе установлена значимость детализирующих показателей, в частности указана значимость для каждого показателя оценки - 50 %. что в совокупности составляет 100 %.</w:t>
      </w:r>
    </w:p>
    <w:p>
      <w:pPr>
        <w:pStyle w:val="Style11"/>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извещении о проведении открытого конкурса в электронной форме также указана значимость критериев, соответствующая требованиям Положения (цена контракта - значимость 60 %; квалификация участников закупки - значимость 40 %).</w:t>
      </w:r>
    </w:p>
    <w:p>
      <w:pPr>
        <w:pStyle w:val="Style11"/>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Учитывая, что в рамках критерия «Квалификация участников закупки» предусмотрено два детализирующих показателя, данный критерий в Порядке рассмотрения и оценки заявок на участие в конкурсе разделен на две строки, в которых указана одинаковая значимость - 40 %.</w:t>
      </w:r>
    </w:p>
    <w:p>
      <w:pPr>
        <w:pStyle w:val="Style11"/>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Комиссия, проанализировав порядок оценки, приходит к выводу, что указание в подобном виде значимости критерия оценки, когда установлено несколько детализирующих показателей, не нарушает требования законодательства о контрактной системе в сфере закупок.</w:t>
      </w:r>
    </w:p>
    <w:p>
      <w:pPr>
        <w:pStyle w:val="Style11"/>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4.5 Заявитель указывает, что данная закупка включает в себя, в том числе поставку котельной дополнительно с выполнением прочих работ, установленных техническим заданием. ОКПД 2: 25.30.12.113 - Оборудование котельное и включено в Перечень товаров, работ, услуг, в случае осуществления закупок, которых заказчик обязан проводить аукцион в электронной форме (электронный аукцион) утвержден Распоряжением Правительства Российской Федерации от 21.03.2016 № 471 -р. Согласно письму ФАС России от 13.03.2019 № ИА/19176/19 в случае если в предмете закупки содержатся услуги (товары, работы), включенные и не включенные в Перечень, заказчик осуществляет закупку путем проведения электронного аукциона, таким образом, по мнению Заявителя, закупка неправомерно проводится в виде открытого конкурса в электронной форме.</w:t>
      </w:r>
    </w:p>
    <w:p>
      <w:pPr>
        <w:pStyle w:val="Style11"/>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Заказчиком для данной закупки выбран код ОКПД2 - 41.20.40.900 «Работы строительные по возведению нежилых зданий и сооружений прочие, не включенные в другие группировки». Указанный код ОКПД2 установлен в извещении о проведении открытого конкурса в электронной форме.</w:t>
      </w:r>
      <w:r>
        <w:br w:type="page"/>
      </w:r>
    </w:p>
    <w:p>
      <w:pPr>
        <w:pStyle w:val="Style11"/>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Довод Заявителя о том. что данная закупка включает, в том числе поставку котельной, не соответствует описанию объекта закупки, так как по условиям закупки подрядчик должен сначала выполнить проектные работы по строительству блочно</w:t>
        <w:softHyphen/>
        <w:t>модульной котельной, а затем только выполнить работы строительству (возведению) котельной блочного типа.</w:t>
      </w:r>
    </w:p>
    <w:p>
      <w:pPr>
        <w:pStyle w:val="Style11"/>
        <w:keepNext w:val="0"/>
        <w:keepLines w:val="0"/>
        <w:widowControl w:val="0"/>
        <w:shd w:val="clear" w:color="auto" w:fill="auto"/>
        <w:bidi w:val="0"/>
        <w:spacing w:before="0" w:after="260" w:line="240" w:lineRule="auto"/>
        <w:ind w:left="0" w:right="0" w:firstLine="720"/>
        <w:jc w:val="both"/>
      </w:pPr>
      <w:r>
        <w:rPr>
          <w:color w:val="000000"/>
          <w:spacing w:val="0"/>
          <w:w w:val="100"/>
          <w:position w:val="0"/>
          <w:shd w:val="clear" w:color="auto" w:fill="auto"/>
          <w:lang w:val="ru-RU" w:eastAsia="ru-RU" w:bidi="ru-RU"/>
        </w:rPr>
        <w:t>Таким образом, учитывая, что в рамках Закупки не предусматривается поставка товара, довод Заявителя не нашел своего подтверждения.</w:t>
      </w:r>
    </w:p>
    <w:p>
      <w:pPr>
        <w:pStyle w:val="Style11"/>
        <w:keepNext w:val="0"/>
        <w:keepLines w:val="0"/>
        <w:widowControl w:val="0"/>
        <w:shd w:val="clear" w:color="auto" w:fill="auto"/>
        <w:bidi w:val="0"/>
        <w:spacing w:before="0" w:after="260" w:line="240" w:lineRule="auto"/>
        <w:ind w:left="0" w:right="0" w:firstLine="720"/>
        <w:jc w:val="both"/>
      </w:pPr>
      <w:r>
        <w:rPr>
          <w:color w:val="000000"/>
          <w:spacing w:val="0"/>
          <w:w w:val="100"/>
          <w:position w:val="0"/>
          <w:shd w:val="clear" w:color="auto" w:fill="auto"/>
          <w:lang w:val="ru-RU" w:eastAsia="ru-RU" w:bidi="ru-RU"/>
        </w:rPr>
        <w:t>На основании вышеизложенного, руководствуясь ч. 8 ст. 106 Федерального закона от 05.04.2013 № 44-ФЗ «О контрактной системе в сфере закупок товаров, работ, услуг для обеспечения государственных и муниципальных нужд», Комиссия Тверского УФАС России</w:t>
      </w:r>
    </w:p>
    <w:p>
      <w:pPr>
        <w:pStyle w:val="Style11"/>
        <w:keepNext w:val="0"/>
        <w:keepLines w:val="0"/>
        <w:widowControl w:val="0"/>
        <w:shd w:val="clear" w:color="auto" w:fill="auto"/>
        <w:bidi w:val="0"/>
        <w:spacing w:before="0" w:after="260" w:line="240" w:lineRule="auto"/>
        <w:ind w:left="0" w:right="0" w:firstLine="0"/>
        <w:jc w:val="center"/>
      </w:pPr>
      <w:r>
        <w:rPr>
          <w:color w:val="000000"/>
          <w:spacing w:val="0"/>
          <w:w w:val="100"/>
          <w:position w:val="0"/>
          <w:shd w:val="clear" w:color="auto" w:fill="auto"/>
          <w:lang w:val="ru-RU" w:eastAsia="ru-RU" w:bidi="ru-RU"/>
        </w:rPr>
        <w:t>РЕШИЛА:</w:t>
      </w:r>
    </w:p>
    <w:p>
      <w:pPr>
        <w:pStyle w:val="Style11"/>
        <w:keepNext w:val="0"/>
        <w:keepLines w:val="0"/>
        <w:widowControl w:val="0"/>
        <w:shd w:val="clear" w:color="auto" w:fill="auto"/>
        <w:bidi w:val="0"/>
        <w:spacing w:before="0" w:after="260" w:line="240" w:lineRule="auto"/>
        <w:ind w:left="0" w:right="0" w:firstLine="720"/>
        <w:jc w:val="both"/>
      </w:pPr>
      <w:r>
        <w:rPr>
          <w:color w:val="000000"/>
          <w:spacing w:val="0"/>
          <w:w w:val="100"/>
          <w:position w:val="0"/>
          <w:shd w:val="clear" w:color="auto" w:fill="auto"/>
          <w:lang w:val="ru-RU" w:eastAsia="ru-RU" w:bidi="ru-RU"/>
        </w:rPr>
        <w:t>Признать жалобу ООО «Пегас ЭКО» необоснованной.</w:t>
      </w:r>
    </w:p>
    <w:p>
      <w:pPr>
        <w:pStyle w:val="Style11"/>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Настоящее решение в течение трех месяцев со дня его изготовления может быть обжаловано в Арбитражный суд Тверской области, находящийся по адресу: 170100 г. Тверь, пл. Святого Благоверного Князя Михаила Тверского, д. 5.</w:t>
      </w:r>
    </w:p>
    <w:p>
      <w:pPr>
        <w:widowControl w:val="0"/>
        <w:spacing w:line="1" w:lineRule="exact"/>
        <w:sectPr>
          <w:headerReference w:type="default" r:id="rId8"/>
          <w:footerReference w:type="default" r:id="rId9"/>
          <w:footnotePr>
            <w:pos w:val="pageBottom"/>
            <w:numFmt w:val="decimal"/>
            <w:numRestart w:val="continuous"/>
          </w:footnotePr>
          <w:pgSz w:w="11900" w:h="16840"/>
          <w:pgMar w:top="1662" w:right="528" w:bottom="1350" w:left="1086" w:header="0" w:footer="3" w:gutter="0"/>
          <w:cols w:space="720"/>
          <w:noEndnote/>
          <w:rtlGutter w:val="0"/>
          <w:docGrid w:linePitch="360"/>
        </w:sectPr>
      </w:pPr>
      <w:r>
        <mc:AlternateContent>
          <mc:Choice Requires="wps">
            <w:drawing>
              <wp:anchor distT="114300" distB="222250" distL="0" distR="0" simplePos="0" relativeHeight="125829381" behindDoc="0" locked="0" layoutInCell="1" allowOverlap="1">
                <wp:simplePos x="0" y="0"/>
                <wp:positionH relativeFrom="page">
                  <wp:posOffset>736600</wp:posOffset>
                </wp:positionH>
                <wp:positionV relativeFrom="paragraph">
                  <wp:posOffset>114300</wp:posOffset>
                </wp:positionV>
                <wp:extent cx="1700530" cy="228600"/>
                <wp:wrapTopAndBottom/>
                <wp:docPr id="11" name="Shape 11"/>
                <a:graphic xmlns:a="http://schemas.openxmlformats.org/drawingml/2006/main">
                  <a:graphicData uri="http://schemas.microsoft.com/office/word/2010/wordprocessingShape">
                    <wps:wsp>
                      <wps:cNvSpPr txBox="1"/>
                      <wps:spPr>
                        <a:xfrm>
                          <a:ext cx="1700530" cy="228600"/>
                        </a:xfrm>
                        <a:prstGeom prst="rect"/>
                        <a:noFill/>
                      </wps:spPr>
                      <wps:txbx>
                        <w:txbxContent>
                          <w:p>
                            <w:pPr>
                              <w:pStyle w:val="Style11"/>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Председатель комиссии</w:t>
                            </w:r>
                          </w:p>
                        </w:txbxContent>
                      </wps:txbx>
                      <wps:bodyPr wrap="none" lIns="0" tIns="0" rIns="0" bIns="0">
                        <a:noAutoFit/>
                      </wps:bodyPr>
                    </wps:wsp>
                  </a:graphicData>
                </a:graphic>
              </wp:anchor>
            </w:drawing>
          </mc:Choice>
          <mc:Fallback>
            <w:pict>
              <v:shape id="_x0000_s1037" type="#_x0000_t202" style="position:absolute;margin-left:58.pt;margin-top:9.pt;width:133.90000000000001pt;height:18.pt;z-index:-125829372;mso-wrap-distance-left:0;mso-wrap-distance-top:9.pt;mso-wrap-distance-right:0;mso-wrap-distance-bottom:17.5pt;mso-position-horizontal-relative:page" filled="f" stroked="f">
                <v:textbox inset="0,0,0,0">
                  <w:txbxContent>
                    <w:p>
                      <w:pPr>
                        <w:pStyle w:val="Style11"/>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Председатель комиссии</w:t>
                      </w:r>
                    </w:p>
                  </w:txbxContent>
                </v:textbox>
                <w10:wrap type="topAndBottom" anchorx="page"/>
              </v:shape>
            </w:pict>
          </mc:Fallback>
        </mc:AlternateContent>
      </w:r>
      <w:r>
        <w:drawing>
          <wp:anchor distT="178435" distB="27305" distL="0" distR="1804670" simplePos="0" relativeHeight="125829383" behindDoc="0" locked="0" layoutInCell="1" allowOverlap="1">
            <wp:simplePos x="0" y="0"/>
            <wp:positionH relativeFrom="page">
              <wp:posOffset>2717800</wp:posOffset>
            </wp:positionH>
            <wp:positionV relativeFrom="paragraph">
              <wp:posOffset>178435</wp:posOffset>
            </wp:positionV>
            <wp:extent cx="311150" cy="359410"/>
            <wp:wrapTopAndBottom/>
            <wp:docPr id="13" name="Shape 13"/>
            <a:graphic xmlns:a="http://schemas.openxmlformats.org/drawingml/2006/main">
              <a:graphicData uri="http://schemas.openxmlformats.org/drawingml/2006/picture">
                <pic:pic xmlns:pic="http://schemas.openxmlformats.org/drawingml/2006/picture">
                  <pic:nvPicPr>
                    <pic:cNvPr id="14" name="Picture box 14"/>
                    <pic:cNvPicPr/>
                  </pic:nvPicPr>
                  <pic:blipFill>
                    <a:blip r:embed="rId10"/>
                    <a:stretch/>
                  </pic:blipFill>
                  <pic:spPr>
                    <a:xfrm>
                      <a:ext cx="311150" cy="359410"/>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3110865</wp:posOffset>
                </wp:positionH>
                <wp:positionV relativeFrom="paragraph">
                  <wp:posOffset>248285</wp:posOffset>
                </wp:positionV>
                <wp:extent cx="1722120" cy="255905"/>
                <wp:wrapNone/>
                <wp:docPr id="15" name="Shape 15"/>
                <a:graphic xmlns:a="http://schemas.openxmlformats.org/drawingml/2006/main">
                  <a:graphicData uri="http://schemas.microsoft.com/office/word/2010/wordprocessingShape">
                    <wps:wsp>
                      <wps:cNvSpPr txBox="1"/>
                      <wps:spPr>
                        <a:xfrm>
                          <a:ext cx="1722120" cy="255905"/>
                        </a:xfrm>
                        <a:prstGeom prst="rect"/>
                        <a:noFill/>
                      </wps:spPr>
                      <wps:txbx>
                        <w:txbxContent>
                          <w:p>
                            <w:pPr>
                              <w:pStyle w:val="Style18"/>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41" type="#_x0000_t202" style="position:absolute;margin-left:244.95000000000002pt;margin-top:19.550000000000001pt;width:135.59999999999999pt;height:20.150000000000002pt;z-index:251657729;mso-wrap-distance-left:0;mso-wrap-distance-right:0;mso-position-horizontal-relative:page" filled="f" stroked="f">
                <v:textbox inset="0,0,0,0">
                  <w:txbxContent>
                    <w:p>
                      <w:pPr>
                        <w:pStyle w:val="Style18"/>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v:textbox>
                <w10:wrap anchorx="page"/>
              </v:shape>
            </w:pict>
          </mc:Fallback>
        </mc:AlternateContent>
      </w:r>
      <w:r>
        <mc:AlternateContent>
          <mc:Choice Requires="wps">
            <w:drawing>
              <wp:anchor distT="346075" distB="0" distL="0" distR="0" simplePos="0" relativeHeight="125829384" behindDoc="0" locked="0" layoutInCell="1" allowOverlap="1">
                <wp:simplePos x="0" y="0"/>
                <wp:positionH relativeFrom="page">
                  <wp:posOffset>6021705</wp:posOffset>
                </wp:positionH>
                <wp:positionV relativeFrom="paragraph">
                  <wp:posOffset>346075</wp:posOffset>
                </wp:positionV>
                <wp:extent cx="1164590" cy="219710"/>
                <wp:wrapTopAndBottom/>
                <wp:docPr id="17" name="Shape 17"/>
                <a:graphic xmlns:a="http://schemas.openxmlformats.org/drawingml/2006/main">
                  <a:graphicData uri="http://schemas.microsoft.com/office/word/2010/wordprocessingShape">
                    <wps:wsp>
                      <wps:cNvSpPr txBox="1"/>
                      <wps:spPr>
                        <a:xfrm>
                          <a:ext cx="1164590" cy="219710"/>
                        </a:xfrm>
                        <a:prstGeom prst="rect"/>
                        <a:noFill/>
                      </wps:spPr>
                      <wps:txbx>
                        <w:txbxContent>
                          <w:p>
                            <w:pPr>
                              <w:pStyle w:val="Style11"/>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П.Д. Винницкая</w:t>
                            </w:r>
                          </w:p>
                        </w:txbxContent>
                      </wps:txbx>
                      <wps:bodyPr wrap="none" lIns="0" tIns="0" rIns="0" bIns="0">
                        <a:noAutoFit/>
                      </wps:bodyPr>
                    </wps:wsp>
                  </a:graphicData>
                </a:graphic>
              </wp:anchor>
            </w:drawing>
          </mc:Choice>
          <mc:Fallback>
            <w:pict>
              <v:shape id="_x0000_s1043" type="#_x0000_t202" style="position:absolute;margin-left:474.15000000000003pt;margin-top:27.25pt;width:91.700000000000003pt;height:17.300000000000001pt;z-index:-125829369;mso-wrap-distance-left:0;mso-wrap-distance-top:27.25pt;mso-wrap-distance-right:0;mso-position-horizontal-relative:page" filled="f" stroked="f">
                <v:textbox inset="0,0,0,0">
                  <w:txbxContent>
                    <w:p>
                      <w:pPr>
                        <w:pStyle w:val="Style11"/>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П.Д. Винницкая</w:t>
                      </w:r>
                    </w:p>
                  </w:txbxContent>
                </v:textbox>
                <w10:wrap type="topAndBottom" anchorx="page"/>
              </v:shape>
            </w:pict>
          </mc:Fallback>
        </mc:AlternateContent>
      </w:r>
    </w:p>
    <w:p>
      <w:pPr>
        <w:pStyle w:val="Style25"/>
        <w:keepNext w:val="0"/>
        <w:keepLines w:val="0"/>
        <w:widowControl w:val="0"/>
        <w:pBdr>
          <w:top w:val="single" w:sz="0" w:space="1" w:color="000000"/>
          <w:left w:val="single" w:sz="0" w:space="0" w:color="000000"/>
          <w:bottom w:val="single" w:sz="0" w:space="2" w:color="000000"/>
          <w:right w:val="single" w:sz="0" w:space="0" w:color="000000"/>
        </w:pBdr>
        <w:shd w:val="clear" w:color="auto" w:fill="000000"/>
        <w:bidi w:val="0"/>
        <w:spacing w:before="0" w:after="66" w:line="240" w:lineRule="auto"/>
        <w:ind w:left="0" w:right="0" w:firstLine="0"/>
        <w:jc w:val="center"/>
        <w:rPr>
          <w:sz w:val="11"/>
          <w:szCs w:val="11"/>
        </w:rPr>
      </w:pPr>
      <w:r>
        <w:rPr>
          <w:color w:val="E5E5E5"/>
          <w:spacing w:val="0"/>
          <w:w w:val="100"/>
          <w:position w:val="0"/>
          <w:sz w:val="11"/>
          <w:szCs w:val="11"/>
          <w:shd w:val="clear" w:color="auto" w:fill="auto"/>
          <w:lang w:val="ru-RU" w:eastAsia="ru-RU" w:bidi="ru-RU"/>
        </w:rPr>
        <w:t>СВЕДЕНИЯ О СЕРТИФИКАТЕ ЭП</w:t>
      </w:r>
    </w:p>
    <w:p>
      <w:pPr>
        <w:pStyle w:val="Style25"/>
        <w:keepNext w:val="0"/>
        <w:keepLines w:val="0"/>
        <w:widowControl w:val="0"/>
        <w:shd w:val="clear" w:color="auto" w:fill="auto"/>
        <w:bidi w:val="0"/>
        <w:spacing w:before="0" w:after="0" w:line="240" w:lineRule="auto"/>
        <w:ind w:right="0" w:firstLine="0"/>
        <w:jc w:val="left"/>
        <w:rPr>
          <w:sz w:val="11"/>
          <w:szCs w:val="11"/>
        </w:rPr>
      </w:pPr>
      <w:r>
        <w:rPr>
          <w:color w:val="000000"/>
          <w:spacing w:val="0"/>
          <w:w w:val="100"/>
          <w:position w:val="0"/>
          <w:sz w:val="12"/>
          <w:szCs w:val="12"/>
          <w:shd w:val="clear" w:color="auto" w:fill="auto"/>
          <w:lang w:val="ru-RU" w:eastAsia="ru-RU" w:bidi="ru-RU"/>
        </w:rPr>
        <w:t xml:space="preserve">Кому </w:t>
      </w:r>
      <w:r>
        <w:rPr>
          <w:spacing w:val="0"/>
          <w:w w:val="100"/>
          <w:position w:val="0"/>
          <w:sz w:val="12"/>
          <w:szCs w:val="12"/>
          <w:shd w:val="clear" w:color="auto" w:fill="auto"/>
          <w:lang w:val="ru-RU" w:eastAsia="ru-RU" w:bidi="ru-RU"/>
        </w:rPr>
        <w:t xml:space="preserve">выдан: </w:t>
      </w:r>
      <w:r>
        <w:rPr>
          <w:color w:val="000000"/>
          <w:spacing w:val="0"/>
          <w:w w:val="100"/>
          <w:position w:val="0"/>
          <w:sz w:val="11"/>
          <w:szCs w:val="11"/>
          <w:shd w:val="clear" w:color="auto" w:fill="auto"/>
          <w:lang w:val="ru-RU" w:eastAsia="ru-RU" w:bidi="ru-RU"/>
        </w:rPr>
        <w:t>ВИННИЦКАЯ ПОЛИНА ДМИТРИЕВНА</w:t>
      </w:r>
    </w:p>
    <w:p>
      <w:pPr>
        <w:pStyle w:val="Style25"/>
        <w:keepNext w:val="0"/>
        <w:keepLines w:val="0"/>
        <w:widowControl w:val="0"/>
        <w:shd w:val="clear" w:color="auto" w:fill="auto"/>
        <w:bidi w:val="0"/>
        <w:spacing w:before="0" w:after="0" w:line="240" w:lineRule="auto"/>
        <w:ind w:right="0" w:firstLine="0"/>
        <w:jc w:val="left"/>
      </w:pPr>
      <w:r>
        <w:rPr>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spacing w:val="0"/>
          <w:w w:val="100"/>
          <w:position w:val="0"/>
          <w:shd w:val="clear" w:color="auto" w:fill="auto"/>
          <w:lang w:val="ru-RU" w:eastAsia="ru-RU" w:bidi="ru-RU"/>
        </w:rPr>
        <w:t xml:space="preserve">00О8Е9ВЕЭАС26Е0Е41 </w:t>
      </w:r>
      <w:r>
        <w:rPr>
          <w:color w:val="000000"/>
          <w:spacing w:val="0"/>
          <w:w w:val="100"/>
          <w:position w:val="0"/>
          <w:shd w:val="clear" w:color="auto" w:fill="auto"/>
          <w:lang w:val="ru-RU" w:eastAsia="ru-RU" w:bidi="ru-RU"/>
        </w:rPr>
        <w:t>ВЕС441</w:t>
      </w:r>
      <w:r>
        <w:rPr>
          <w:spacing w:val="0"/>
          <w:w w:val="100"/>
          <w:position w:val="0"/>
          <w:shd w:val="clear" w:color="auto" w:fill="auto"/>
          <w:lang w:val="ru-RU" w:eastAsia="ru-RU" w:bidi="ru-RU"/>
        </w:rPr>
        <w:t>010ЕВ2ВЕ9</w:t>
      </w:r>
      <w:r>
        <w:rPr>
          <w:spacing w:val="0"/>
          <w:w w:val="100"/>
          <w:position w:val="0"/>
          <w:shd w:val="clear" w:color="auto" w:fill="auto"/>
          <w:lang w:val="ru-RU" w:eastAsia="ru-RU" w:bidi="ru-RU"/>
        </w:rPr>
        <w:t>;</w:t>
      </w:r>
    </w:p>
    <w:p>
      <w:pPr>
        <w:pStyle w:val="Style25"/>
        <w:keepNext w:val="0"/>
        <w:keepLines w:val="0"/>
        <w:widowControl w:val="0"/>
        <w:shd w:val="clear" w:color="auto" w:fill="auto"/>
        <w:bidi w:val="0"/>
        <w:spacing w:before="0" w:after="0" w:line="240" w:lineRule="auto"/>
        <w:ind w:right="0" w:firstLine="0"/>
        <w:jc w:val="left"/>
      </w:pPr>
      <w:r>
        <w:rPr>
          <w:spacing w:val="0"/>
          <w:w w:val="100"/>
          <w:position w:val="0"/>
          <w:shd w:val="clear" w:color="auto" w:fill="auto"/>
          <w:lang w:val="ru-RU" w:eastAsia="ru-RU" w:bidi="ru-RU"/>
        </w:rPr>
        <w:t xml:space="preserve">Действителен </w:t>
      </w:r>
      <w:r>
        <w:rPr>
          <w:color w:val="212121"/>
          <w:spacing w:val="0"/>
          <w:w w:val="100"/>
          <w:position w:val="0"/>
          <w:shd w:val="clear" w:color="auto" w:fill="auto"/>
          <w:lang w:val="ru-RU" w:eastAsia="ru-RU" w:bidi="ru-RU"/>
        </w:rPr>
        <w:t xml:space="preserve">с </w:t>
      </w:r>
      <w:r>
        <w:rPr>
          <w:spacing w:val="0"/>
          <w:w w:val="100"/>
          <w:position w:val="0"/>
          <w:shd w:val="clear" w:color="auto" w:fill="auto"/>
          <w:lang w:val="ru-RU" w:eastAsia="ru-RU" w:bidi="ru-RU"/>
        </w:rPr>
        <w:t xml:space="preserve">16.10.2024 </w:t>
      </w:r>
      <w:r>
        <w:rPr>
          <w:color w:val="8D8D8D"/>
          <w:spacing w:val="0"/>
          <w:w w:val="100"/>
          <w:position w:val="0"/>
          <w:shd w:val="clear" w:color="auto" w:fill="auto"/>
          <w:lang w:val="ru-RU" w:eastAsia="ru-RU" w:bidi="ru-RU"/>
        </w:rPr>
        <w:t xml:space="preserve">по </w:t>
      </w:r>
      <w:r>
        <w:rPr>
          <w:spacing w:val="0"/>
          <w:w w:val="100"/>
          <w:position w:val="0"/>
          <w:shd w:val="clear" w:color="auto" w:fill="auto"/>
          <w:lang w:val="ru-RU" w:eastAsia="ru-RU" w:bidi="ru-RU"/>
        </w:rPr>
        <w:t>09.01</w:t>
      </w:r>
      <w:r>
        <w:rPr>
          <w:color w:val="212121"/>
          <w:spacing w:val="0"/>
          <w:w w:val="100"/>
          <w:position w:val="0"/>
          <w:shd w:val="clear" w:color="auto" w:fill="auto"/>
          <w:lang w:val="ru-RU" w:eastAsia="ru-RU" w:bidi="ru-RU"/>
        </w:rPr>
        <w:t>.2026</w:t>
      </w:r>
    </w:p>
    <w:p>
      <w:pPr>
        <w:widowControl w:val="0"/>
        <w:spacing w:line="1" w:lineRule="exact"/>
        <w:sectPr>
          <w:footnotePr>
            <w:pos w:val="pageBottom"/>
            <w:numFmt w:val="decimal"/>
            <w:numRestart w:val="continuous"/>
          </w:footnotePr>
          <w:type w:val="continuous"/>
          <w:pgSz w:w="11900" w:h="16840"/>
          <w:pgMar w:top="1666" w:right="541" w:bottom="1378" w:left="1106" w:header="0" w:footer="3" w:gutter="0"/>
          <w:cols w:space="720"/>
          <w:noEndnote/>
          <w:rtlGutter w:val="0"/>
          <w:docGrid w:linePitch="360"/>
        </w:sectPr>
      </w:pPr>
      <w:r>
        <mc:AlternateContent>
          <mc:Choice Requires="wps">
            <w:drawing>
              <wp:anchor distT="50800" distB="301625" distL="0" distR="0" simplePos="0" relativeHeight="125829386" behindDoc="0" locked="0" layoutInCell="1" allowOverlap="1">
                <wp:simplePos x="0" y="0"/>
                <wp:positionH relativeFrom="page">
                  <wp:posOffset>734060</wp:posOffset>
                </wp:positionH>
                <wp:positionV relativeFrom="paragraph">
                  <wp:posOffset>50800</wp:posOffset>
                </wp:positionV>
                <wp:extent cx="1246505" cy="234950"/>
                <wp:wrapTopAndBottom/>
                <wp:docPr id="19" name="Shape 19"/>
                <a:graphic xmlns:a="http://schemas.openxmlformats.org/drawingml/2006/main">
                  <a:graphicData uri="http://schemas.microsoft.com/office/word/2010/wordprocessingShape">
                    <wps:wsp>
                      <wps:cNvSpPr txBox="1"/>
                      <wps:spPr>
                        <a:xfrm>
                          <a:ext cx="1246505" cy="234950"/>
                        </a:xfrm>
                        <a:prstGeom prst="rect"/>
                        <a:noFill/>
                      </wps:spPr>
                      <wps:txbx>
                        <w:txbxContent>
                          <w:p>
                            <w:pPr>
                              <w:pStyle w:val="Style11"/>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Члены комиссии:</w:t>
                            </w:r>
                          </w:p>
                        </w:txbxContent>
                      </wps:txbx>
                      <wps:bodyPr wrap="none" lIns="0" tIns="0" rIns="0" bIns="0">
                        <a:noAutoFit/>
                      </wps:bodyPr>
                    </wps:wsp>
                  </a:graphicData>
                </a:graphic>
              </wp:anchor>
            </w:drawing>
          </mc:Choice>
          <mc:Fallback>
            <w:pict>
              <v:shape id="_x0000_s1045" type="#_x0000_t202" style="position:absolute;margin-left:57.800000000000004pt;margin-top:4.pt;width:98.150000000000006pt;height:18.5pt;z-index:-125829367;mso-wrap-distance-left:0;mso-wrap-distance-top:4.pt;mso-wrap-distance-right:0;mso-wrap-distance-bottom:23.75pt;mso-position-horizontal-relative:page" filled="f" stroked="f">
                <v:textbox inset="0,0,0,0">
                  <w:txbxContent>
                    <w:p>
                      <w:pPr>
                        <w:pStyle w:val="Style11"/>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Члены комиссии:</w:t>
                      </w:r>
                    </w:p>
                  </w:txbxContent>
                </v:textbox>
                <w10:wrap type="topAndBottom" anchorx="page"/>
              </v:shape>
            </w:pict>
          </mc:Fallback>
        </mc:AlternateContent>
      </w:r>
      <w:r>
        <w:drawing>
          <wp:anchor distT="102870" distB="121920" distL="0" distR="1804670" simplePos="0" relativeHeight="125829388" behindDoc="0" locked="0" layoutInCell="1" allowOverlap="1">
            <wp:simplePos x="0" y="0"/>
            <wp:positionH relativeFrom="page">
              <wp:posOffset>2718435</wp:posOffset>
            </wp:positionH>
            <wp:positionV relativeFrom="paragraph">
              <wp:posOffset>102870</wp:posOffset>
            </wp:positionV>
            <wp:extent cx="311150" cy="365760"/>
            <wp:wrapTopAndBottom/>
            <wp:docPr id="21" name="Shape 21"/>
            <a:graphic xmlns:a="http://schemas.openxmlformats.org/drawingml/2006/main">
              <a:graphicData uri="http://schemas.openxmlformats.org/drawingml/2006/picture">
                <pic:pic xmlns:pic="http://schemas.openxmlformats.org/drawingml/2006/picture">
                  <pic:nvPicPr>
                    <pic:cNvPr id="22" name="Picture box 22"/>
                    <pic:cNvPicPr/>
                  </pic:nvPicPr>
                  <pic:blipFill>
                    <a:blip r:embed="rId12"/>
                    <a:stretch/>
                  </pic:blipFill>
                  <pic:spPr>
                    <a:xfrm>
                      <a:ext cx="311150" cy="365760"/>
                    </a:xfrm>
                    <a:prstGeom prst="rect"/>
                  </pic:spPr>
                </pic:pic>
              </a:graphicData>
            </a:graphic>
          </wp:anchor>
        </w:drawing>
      </w:r>
      <w:r>
        <mc:AlternateContent>
          <mc:Choice Requires="wps">
            <w:drawing>
              <wp:anchor distT="0" distB="0" distL="0" distR="0" simplePos="0" relativeHeight="503316484" behindDoc="0" locked="0" layoutInCell="1" allowOverlap="1">
                <wp:simplePos x="0" y="0"/>
                <wp:positionH relativeFrom="page">
                  <wp:posOffset>3111500</wp:posOffset>
                </wp:positionH>
                <wp:positionV relativeFrom="paragraph">
                  <wp:posOffset>172720</wp:posOffset>
                </wp:positionV>
                <wp:extent cx="1722120" cy="255905"/>
                <wp:wrapNone/>
                <wp:docPr id="23" name="Shape 23"/>
                <a:graphic xmlns:a="http://schemas.openxmlformats.org/drawingml/2006/main">
                  <a:graphicData uri="http://schemas.microsoft.com/office/word/2010/wordprocessingShape">
                    <wps:wsp>
                      <wps:cNvSpPr txBox="1"/>
                      <wps:spPr>
                        <a:xfrm>
                          <a:ext cx="1722120" cy="255905"/>
                        </a:xfrm>
                        <a:prstGeom prst="rect"/>
                        <a:noFill/>
                      </wps:spPr>
                      <wps:txbx>
                        <w:txbxContent>
                          <w:p>
                            <w:pPr>
                              <w:pStyle w:val="Style18"/>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 xml:space="preserve">хранится в системе электронного документооборота </w:t>
                            </w:r>
                            <w:r>
                              <w:rPr>
                                <w:color w:val="000000"/>
                                <w:spacing w:val="0"/>
                                <w:w w:val="100"/>
                                <w:position w:val="0"/>
                                <w:shd w:val="clear" w:color="auto" w:fill="auto"/>
                                <w:lang w:val="ru-RU" w:eastAsia="ru-RU" w:bidi="ru-RU"/>
                              </w:rPr>
                              <w:t xml:space="preserve">ФАС </w:t>
                            </w:r>
                            <w:r>
                              <w:rPr>
                                <w:spacing w:val="0"/>
                                <w:w w:val="100"/>
                                <w:position w:val="0"/>
                                <w:shd w:val="clear" w:color="auto" w:fill="auto"/>
                                <w:lang w:val="ru-RU" w:eastAsia="ru-RU" w:bidi="ru-RU"/>
                              </w:rPr>
                              <w:t>России</w:t>
                            </w:r>
                          </w:p>
                        </w:txbxContent>
                      </wps:txbx>
                      <wps:bodyPr lIns="0" tIns="0" rIns="0" bIns="0">
                        <a:noAutoFit/>
                      </wps:bodyPr>
                    </wps:wsp>
                  </a:graphicData>
                </a:graphic>
              </wp:anchor>
            </w:drawing>
          </mc:Choice>
          <mc:Fallback>
            <w:pict>
              <v:shape id="_x0000_s1049" type="#_x0000_t202" style="position:absolute;margin-left:245.pt;margin-top:13.6pt;width:135.59999999999999pt;height:20.150000000000002pt;z-index:251657731;mso-wrap-distance-left:0;mso-wrap-distance-right:0;mso-position-horizontal-relative:page" filled="f" stroked="f">
                <v:textbox inset="0,0,0,0">
                  <w:txbxContent>
                    <w:p>
                      <w:pPr>
                        <w:pStyle w:val="Style18"/>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 xml:space="preserve">хранится в системе электронного документооборота </w:t>
                      </w:r>
                      <w:r>
                        <w:rPr>
                          <w:color w:val="000000"/>
                          <w:spacing w:val="0"/>
                          <w:w w:val="100"/>
                          <w:position w:val="0"/>
                          <w:shd w:val="clear" w:color="auto" w:fill="auto"/>
                          <w:lang w:val="ru-RU" w:eastAsia="ru-RU" w:bidi="ru-RU"/>
                        </w:rPr>
                        <w:t xml:space="preserve">ФАС </w:t>
                      </w:r>
                      <w:r>
                        <w:rPr>
                          <w:spacing w:val="0"/>
                          <w:w w:val="100"/>
                          <w:position w:val="0"/>
                          <w:shd w:val="clear" w:color="auto" w:fill="auto"/>
                          <w:lang w:val="ru-RU" w:eastAsia="ru-RU" w:bidi="ru-RU"/>
                        </w:rPr>
                        <w:t>России</w:t>
                      </w:r>
                    </w:p>
                  </w:txbxContent>
                </v:textbox>
                <w10:wrap anchorx="page"/>
              </v:shape>
            </w:pict>
          </mc:Fallback>
        </mc:AlternateContent>
      </w:r>
      <w:r>
        <mc:AlternateContent>
          <mc:Choice Requires="wps">
            <w:drawing>
              <wp:anchor distT="495935" distB="0" distL="0" distR="0" simplePos="0" relativeHeight="125829389" behindDoc="0" locked="0" layoutInCell="1" allowOverlap="1">
                <wp:simplePos x="0" y="0"/>
                <wp:positionH relativeFrom="page">
                  <wp:posOffset>3154045</wp:posOffset>
                </wp:positionH>
                <wp:positionV relativeFrom="paragraph">
                  <wp:posOffset>495935</wp:posOffset>
                </wp:positionV>
                <wp:extent cx="1280160" cy="91440"/>
                <wp:wrapTopAndBottom/>
                <wp:docPr id="25" name="Shape 25"/>
                <a:graphic xmlns:a="http://schemas.openxmlformats.org/drawingml/2006/main">
                  <a:graphicData uri="http://schemas.microsoft.com/office/word/2010/wordprocessingShape">
                    <wps:wsp>
                      <wps:cNvSpPr txBox="1"/>
                      <wps:spPr>
                        <a:xfrm>
                          <a:ext cx="1280160" cy="91440"/>
                        </a:xfrm>
                        <a:prstGeom prst="rect"/>
                        <a:noFill/>
                      </wps:spPr>
                      <wps:txbx>
                        <w:txbxContent>
                          <w:p>
                            <w:pPr>
                              <w:pStyle w:val="Style25"/>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1"/>
                                <w:szCs w:val="11"/>
                              </w:rPr>
                            </w:pPr>
                            <w:r>
                              <w:rPr>
                                <w:color w:val="E5E5E5"/>
                                <w:spacing w:val="0"/>
                                <w:w w:val="100"/>
                                <w:position w:val="0"/>
                                <w:sz w:val="11"/>
                                <w:szCs w:val="11"/>
                                <w:shd w:val="clear" w:color="auto" w:fill="auto"/>
                                <w:lang w:val="ru-RU" w:eastAsia="ru-RU" w:bidi="ru-RU"/>
                              </w:rPr>
                              <w:t>СВЕДЕНИЯ О СЕРТИФИКАТЕ ЭП</w:t>
                            </w:r>
                          </w:p>
                        </w:txbxContent>
                      </wps:txbx>
                      <wps:bodyPr wrap="none" lIns="0" tIns="0" rIns="0" bIns="0">
                        <a:noAutoFit/>
                      </wps:bodyPr>
                    </wps:wsp>
                  </a:graphicData>
                </a:graphic>
              </wp:anchor>
            </w:drawing>
          </mc:Choice>
          <mc:Fallback>
            <w:pict>
              <v:shape id="_x0000_s1051" type="#_x0000_t202" style="position:absolute;margin-left:248.34999999999999pt;margin-top:39.050000000000004pt;width:100.8pt;height:7.2000000000000002pt;z-index:-125829364;mso-wrap-distance-left:0;mso-wrap-distance-top:39.050000000000004pt;mso-wrap-distance-right:0;mso-position-horizontal-relative:page" filled="f" stroked="f">
                <v:textbox inset="0,0,0,0">
                  <w:txbxContent>
                    <w:p>
                      <w:pPr>
                        <w:pStyle w:val="Style25"/>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1"/>
                          <w:szCs w:val="11"/>
                        </w:rPr>
                      </w:pPr>
                      <w:r>
                        <w:rPr>
                          <w:color w:val="E5E5E5"/>
                          <w:spacing w:val="0"/>
                          <w:w w:val="100"/>
                          <w:position w:val="0"/>
                          <w:sz w:val="11"/>
                          <w:szCs w:val="11"/>
                          <w:shd w:val="clear" w:color="auto" w:fill="auto"/>
                          <w:lang w:val="ru-RU" w:eastAsia="ru-RU" w:bidi="ru-RU"/>
                        </w:rPr>
                        <w:t>СВЕДЕНИЯ О СЕРТИФИКАТЕ ЭП</w:t>
                      </w:r>
                    </w:p>
                  </w:txbxContent>
                </v:textbox>
                <w10:wrap type="topAndBottom" anchorx="page"/>
              </v:shape>
            </w:pict>
          </mc:Fallback>
        </mc:AlternateContent>
      </w:r>
      <w:r>
        <mc:AlternateContent>
          <mc:Choice Requires="wps">
            <w:drawing>
              <wp:anchor distT="309880" distB="42545" distL="0" distR="0" simplePos="0" relativeHeight="125829391" behindDoc="0" locked="0" layoutInCell="1" allowOverlap="1">
                <wp:simplePos x="0" y="0"/>
                <wp:positionH relativeFrom="page">
                  <wp:posOffset>6107430</wp:posOffset>
                </wp:positionH>
                <wp:positionV relativeFrom="paragraph">
                  <wp:posOffset>309880</wp:posOffset>
                </wp:positionV>
                <wp:extent cx="1082040" cy="234950"/>
                <wp:wrapTopAndBottom/>
                <wp:docPr id="27" name="Shape 27"/>
                <a:graphic xmlns:a="http://schemas.openxmlformats.org/drawingml/2006/main">
                  <a:graphicData uri="http://schemas.microsoft.com/office/word/2010/wordprocessingShape">
                    <wps:wsp>
                      <wps:cNvSpPr txBox="1"/>
                      <wps:spPr>
                        <a:xfrm>
                          <a:ext cx="1082040" cy="234950"/>
                        </a:xfrm>
                        <a:prstGeom prst="rect"/>
                        <a:noFill/>
                      </wps:spPr>
                      <wps:txbx>
                        <w:txbxContent>
                          <w:p>
                            <w:pPr>
                              <w:pStyle w:val="Style11"/>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М.В. Федотова</w:t>
                            </w:r>
                          </w:p>
                        </w:txbxContent>
                      </wps:txbx>
                      <wps:bodyPr wrap="none" lIns="0" tIns="0" rIns="0" bIns="0">
                        <a:noAutoFit/>
                      </wps:bodyPr>
                    </wps:wsp>
                  </a:graphicData>
                </a:graphic>
              </wp:anchor>
            </w:drawing>
          </mc:Choice>
          <mc:Fallback>
            <w:pict>
              <v:shape id="_x0000_s1053" type="#_x0000_t202" style="position:absolute;margin-left:480.90000000000003pt;margin-top:24.400000000000002pt;width:85.200000000000003pt;height:18.5pt;z-index:-125829362;mso-wrap-distance-left:0;mso-wrap-distance-top:24.400000000000002pt;mso-wrap-distance-right:0;mso-wrap-distance-bottom:3.3500000000000001pt;mso-position-horizontal-relative:page" filled="f" stroked="f">
                <v:textbox inset="0,0,0,0">
                  <w:txbxContent>
                    <w:p>
                      <w:pPr>
                        <w:pStyle w:val="Style11"/>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М.В. Федотова</w:t>
                      </w:r>
                    </w:p>
                  </w:txbxContent>
                </v:textbox>
                <w10:wrap type="topAndBottom" anchorx="page"/>
              </v:shape>
            </w:pict>
          </mc:Fallback>
        </mc:AlternateContent>
      </w:r>
    </w:p>
    <w:p>
      <w:pPr>
        <w:pStyle w:val="Style25"/>
        <w:keepNext w:val="0"/>
        <w:keepLines w:val="0"/>
        <w:widowControl w:val="0"/>
        <w:shd w:val="clear" w:color="auto" w:fill="auto"/>
        <w:bidi w:val="0"/>
        <w:spacing w:before="0" w:after="0" w:line="266" w:lineRule="auto"/>
        <w:ind w:right="0" w:firstLine="0"/>
        <w:jc w:val="left"/>
      </w:pPr>
      <w:r>
        <w:rPr>
          <w:color w:val="212121"/>
          <w:spacing w:val="0"/>
          <w:w w:val="100"/>
          <w:position w:val="0"/>
          <w:shd w:val="clear" w:color="auto" w:fill="auto"/>
          <w:lang w:val="ru-RU" w:eastAsia="ru-RU" w:bidi="ru-RU"/>
        </w:rPr>
        <w:t xml:space="preserve">Кому </w:t>
      </w:r>
      <w:r>
        <w:rPr>
          <w:spacing w:val="0"/>
          <w:w w:val="100"/>
          <w:position w:val="0"/>
          <w:shd w:val="clear" w:color="auto" w:fill="auto"/>
          <w:lang w:val="ru-RU" w:eastAsia="ru-RU" w:bidi="ru-RU"/>
        </w:rPr>
        <w:t xml:space="preserve">выдан: </w:t>
      </w:r>
      <w:r>
        <w:rPr>
          <w:color w:val="000000"/>
          <w:spacing w:val="0"/>
          <w:w w:val="100"/>
          <w:position w:val="0"/>
          <w:sz w:val="11"/>
          <w:szCs w:val="11"/>
          <w:shd w:val="clear" w:color="auto" w:fill="auto"/>
          <w:lang w:val="ru-RU" w:eastAsia="ru-RU" w:bidi="ru-RU"/>
        </w:rPr>
        <w:t xml:space="preserve">ФЕДОТОВА МАРИЯ ВЛАДИМИРОВНА </w:t>
      </w:r>
      <w:r>
        <w:rPr>
          <w:spacing w:val="0"/>
          <w:w w:val="100"/>
          <w:position w:val="0"/>
          <w:shd w:val="clear" w:color="auto" w:fill="auto"/>
          <w:lang w:val="ru-RU" w:eastAsia="ru-RU" w:bidi="ru-RU"/>
        </w:rPr>
        <w:t xml:space="preserve">Сертификат </w:t>
      </w:r>
      <w:r>
        <w:rPr>
          <w:color w:val="212121"/>
          <w:spacing w:val="0"/>
          <w:w w:val="100"/>
          <w:position w:val="0"/>
          <w:shd w:val="clear" w:color="auto" w:fill="auto"/>
          <w:lang w:val="ru-RU" w:eastAsia="ru-RU" w:bidi="ru-RU"/>
        </w:rPr>
        <w:t xml:space="preserve">№ </w:t>
      </w:r>
      <w:r>
        <w:rPr>
          <w:spacing w:val="0"/>
          <w:w w:val="100"/>
          <w:position w:val="0"/>
          <w:shd w:val="clear" w:color="auto" w:fill="auto"/>
          <w:lang w:val="ru-RU" w:eastAsia="ru-RU" w:bidi="ru-RU"/>
        </w:rPr>
        <w:t>00Е3382ЕВСВВ143092017Е4ЕЕ4В85С0А72</w:t>
      </w:r>
    </w:p>
    <w:p>
      <w:pPr>
        <w:pStyle w:val="Style25"/>
        <w:keepNext w:val="0"/>
        <w:keepLines w:val="0"/>
        <w:widowControl w:val="0"/>
        <w:shd w:val="clear" w:color="auto" w:fill="auto"/>
        <w:bidi w:val="0"/>
        <w:spacing w:before="0" w:after="320" w:line="266" w:lineRule="auto"/>
        <w:ind w:right="0" w:firstLine="0"/>
        <w:jc w:val="left"/>
      </w:pPr>
      <w:r>
        <w:drawing>
          <wp:anchor distT="0" distB="0" distL="114300" distR="1918970" simplePos="0" relativeHeight="125829393" behindDoc="0" locked="0" layoutInCell="1" allowOverlap="1">
            <wp:simplePos x="0" y="0"/>
            <wp:positionH relativeFrom="page">
              <wp:posOffset>2717800</wp:posOffset>
            </wp:positionH>
            <wp:positionV relativeFrom="paragraph">
              <wp:posOffset>279400</wp:posOffset>
            </wp:positionV>
            <wp:extent cx="311150" cy="365760"/>
            <wp:wrapSquare wrapText="right"/>
            <wp:docPr id="29" name="Shape 29"/>
            <a:graphic xmlns:a="http://schemas.openxmlformats.org/drawingml/2006/main">
              <a:graphicData uri="http://schemas.openxmlformats.org/drawingml/2006/picture">
                <pic:pic xmlns:pic="http://schemas.openxmlformats.org/drawingml/2006/picture">
                  <pic:nvPicPr>
                    <pic:cNvPr id="30" name="Picture box 30"/>
                    <pic:cNvPicPr/>
                  </pic:nvPicPr>
                  <pic:blipFill>
                    <a:blip r:embed="rId14"/>
                    <a:stretch/>
                  </pic:blipFill>
                  <pic:spPr>
                    <a:xfrm>
                      <a:ext cx="311150" cy="365760"/>
                    </a:xfrm>
                    <a:prstGeom prst="rect"/>
                  </pic:spPr>
                </pic:pic>
              </a:graphicData>
            </a:graphic>
          </wp:anchor>
        </w:drawing>
      </w:r>
      <w:r>
        <mc:AlternateContent>
          <mc:Choice Requires="wps">
            <w:drawing>
              <wp:anchor distT="0" distB="0" distL="0" distR="0" simplePos="0" relativeHeight="503316486" behindDoc="0" locked="0" layoutInCell="1" allowOverlap="1">
                <wp:simplePos x="0" y="0"/>
                <wp:positionH relativeFrom="page">
                  <wp:posOffset>3110865</wp:posOffset>
                </wp:positionH>
                <wp:positionV relativeFrom="paragraph">
                  <wp:posOffset>352425</wp:posOffset>
                </wp:positionV>
                <wp:extent cx="1722120" cy="255905"/>
                <wp:wrapNone/>
                <wp:docPr id="31" name="Shape 31"/>
                <a:graphic xmlns:a="http://schemas.openxmlformats.org/drawingml/2006/main">
                  <a:graphicData uri="http://schemas.microsoft.com/office/word/2010/wordprocessingShape">
                    <wps:wsp>
                      <wps:cNvSpPr txBox="1"/>
                      <wps:spPr>
                        <a:xfrm>
                          <a:ext cx="1722120" cy="255905"/>
                        </a:xfrm>
                        <a:prstGeom prst="rect"/>
                        <a:noFill/>
                      </wps:spPr>
                      <wps:txbx>
                        <w:txbxContent>
                          <w:p>
                            <w:pPr>
                              <w:pStyle w:val="Style18"/>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 xml:space="preserve">хранится в системе электронного документооборота </w:t>
                            </w:r>
                            <w:r>
                              <w:rPr>
                                <w:color w:val="000000"/>
                                <w:spacing w:val="0"/>
                                <w:w w:val="100"/>
                                <w:position w:val="0"/>
                                <w:shd w:val="clear" w:color="auto" w:fill="auto"/>
                                <w:lang w:val="ru-RU" w:eastAsia="ru-RU" w:bidi="ru-RU"/>
                              </w:rPr>
                              <w:t xml:space="preserve">ФАС </w:t>
                            </w:r>
                            <w:r>
                              <w:rPr>
                                <w:spacing w:val="0"/>
                                <w:w w:val="100"/>
                                <w:position w:val="0"/>
                                <w:shd w:val="clear" w:color="auto" w:fill="auto"/>
                                <w:lang w:val="ru-RU" w:eastAsia="ru-RU" w:bidi="ru-RU"/>
                              </w:rPr>
                              <w:t>России</w:t>
                            </w:r>
                          </w:p>
                        </w:txbxContent>
                      </wps:txbx>
                      <wps:bodyPr lIns="0" tIns="0" rIns="0" bIns="0">
                        <a:noAutoFit/>
                      </wps:bodyPr>
                    </wps:wsp>
                  </a:graphicData>
                </a:graphic>
              </wp:anchor>
            </w:drawing>
          </mc:Choice>
          <mc:Fallback>
            <w:pict>
              <v:shape id="_x0000_s1057" type="#_x0000_t202" style="position:absolute;margin-left:244.95000000000002pt;margin-top:27.75pt;width:135.59999999999999pt;height:20.150000000000002pt;z-index:251657733;mso-wrap-distance-left:0;mso-wrap-distance-right:0;mso-position-horizontal-relative:page" filled="f" stroked="f">
                <v:textbox inset="0,0,0,0">
                  <w:txbxContent>
                    <w:p>
                      <w:pPr>
                        <w:pStyle w:val="Style18"/>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 xml:space="preserve">хранится в системе электронного документооборота </w:t>
                      </w:r>
                      <w:r>
                        <w:rPr>
                          <w:color w:val="000000"/>
                          <w:spacing w:val="0"/>
                          <w:w w:val="100"/>
                          <w:position w:val="0"/>
                          <w:shd w:val="clear" w:color="auto" w:fill="auto"/>
                          <w:lang w:val="ru-RU" w:eastAsia="ru-RU" w:bidi="ru-RU"/>
                        </w:rPr>
                        <w:t xml:space="preserve">ФАС </w:t>
                      </w:r>
                      <w:r>
                        <w:rPr>
                          <w:spacing w:val="0"/>
                          <w:w w:val="100"/>
                          <w:position w:val="0"/>
                          <w:shd w:val="clear" w:color="auto" w:fill="auto"/>
                          <w:lang w:val="ru-RU" w:eastAsia="ru-RU" w:bidi="ru-RU"/>
                        </w:rPr>
                        <w:t>России</w:t>
                      </w:r>
                    </w:p>
                  </w:txbxContent>
                </v:textbox>
                <w10:wrap anchorx="page"/>
              </v:shape>
            </w:pict>
          </mc:Fallback>
        </mc:AlternateContent>
      </w:r>
      <w:r>
        <w:rPr>
          <w:spacing w:val="0"/>
          <w:w w:val="100"/>
          <w:position w:val="0"/>
          <w:shd w:val="clear" w:color="auto" w:fill="auto"/>
          <w:lang w:val="ru-RU" w:eastAsia="ru-RU" w:bidi="ru-RU"/>
        </w:rPr>
        <w:t xml:space="preserve">Действителен с </w:t>
      </w:r>
      <w:r>
        <w:rPr>
          <w:color w:val="717171"/>
          <w:spacing w:val="0"/>
          <w:w w:val="100"/>
          <w:position w:val="0"/>
          <w:shd w:val="clear" w:color="auto" w:fill="auto"/>
          <w:lang w:val="ru-RU" w:eastAsia="ru-RU" w:bidi="ru-RU"/>
        </w:rPr>
        <w:t>17.10.2024 по 10.01</w:t>
      </w:r>
      <w:r>
        <w:rPr>
          <w:spacing w:val="0"/>
          <w:w w:val="100"/>
          <w:position w:val="0"/>
          <w:shd w:val="clear" w:color="auto" w:fill="auto"/>
          <w:lang w:val="ru-RU" w:eastAsia="ru-RU" w:bidi="ru-RU"/>
        </w:rPr>
        <w:t>.2026</w:t>
      </w:r>
    </w:p>
    <w:p>
      <w:pPr>
        <w:pStyle w:val="Style11"/>
        <w:keepNext w:val="0"/>
        <w:keepLines w:val="0"/>
        <w:widowControl w:val="0"/>
        <w:shd w:val="clear" w:color="auto" w:fill="auto"/>
        <w:bidi w:val="0"/>
        <w:spacing w:before="0" w:after="230" w:line="240" w:lineRule="auto"/>
        <w:ind w:left="0" w:right="0" w:firstLine="0"/>
        <w:jc w:val="center"/>
      </w:pPr>
      <w:r>
        <w:rPr>
          <w:color w:val="000000"/>
          <w:spacing w:val="0"/>
          <w:w w:val="100"/>
          <w:position w:val="0"/>
          <w:shd w:val="clear" w:color="auto" w:fill="auto"/>
          <w:lang w:val="ru-RU" w:eastAsia="ru-RU" w:bidi="ru-RU"/>
        </w:rPr>
        <w:t>В.А. Дьяконов</w:t>
      </w:r>
    </w:p>
    <w:p>
      <w:pPr>
        <w:pStyle w:val="Style25"/>
        <w:keepNext w:val="0"/>
        <w:keepLines w:val="0"/>
        <w:widowControl w:val="0"/>
        <w:pBdr>
          <w:top w:val="single" w:sz="0" w:space="1" w:color="000000"/>
          <w:left w:val="single" w:sz="0" w:space="0" w:color="000000"/>
          <w:bottom w:val="single" w:sz="0" w:space="2" w:color="000000"/>
          <w:right w:val="single" w:sz="0" w:space="0" w:color="000000"/>
        </w:pBdr>
        <w:shd w:val="clear" w:color="auto" w:fill="000000"/>
        <w:bidi w:val="0"/>
        <w:spacing w:before="0" w:after="66" w:line="240" w:lineRule="auto"/>
        <w:ind w:left="0" w:right="0" w:firstLine="0"/>
        <w:jc w:val="center"/>
        <w:rPr>
          <w:sz w:val="11"/>
          <w:szCs w:val="11"/>
        </w:rPr>
      </w:pPr>
      <w:r>
        <w:rPr>
          <w:color w:val="E5E5E5"/>
          <w:spacing w:val="0"/>
          <w:w w:val="100"/>
          <w:position w:val="0"/>
          <w:sz w:val="11"/>
          <w:szCs w:val="11"/>
          <w:shd w:val="clear" w:color="auto" w:fill="auto"/>
          <w:lang w:val="ru-RU" w:eastAsia="ru-RU" w:bidi="ru-RU"/>
        </w:rPr>
        <w:t>СВЕДЕНИЯ О СЕРТИФИКАТЕ ЭП</w:t>
      </w:r>
    </w:p>
    <w:p>
      <w:pPr>
        <w:pStyle w:val="Style25"/>
        <w:keepNext w:val="0"/>
        <w:keepLines w:val="0"/>
        <w:widowControl w:val="0"/>
        <w:shd w:val="clear" w:color="auto" w:fill="auto"/>
        <w:bidi w:val="0"/>
        <w:spacing w:before="0" w:after="0" w:line="240" w:lineRule="auto"/>
        <w:ind w:right="0" w:firstLine="0"/>
        <w:jc w:val="left"/>
        <w:rPr>
          <w:sz w:val="11"/>
          <w:szCs w:val="11"/>
        </w:rPr>
      </w:pPr>
      <w:r>
        <w:rPr>
          <w:color w:val="000000"/>
          <w:spacing w:val="0"/>
          <w:w w:val="100"/>
          <w:position w:val="0"/>
          <w:sz w:val="12"/>
          <w:szCs w:val="12"/>
          <w:shd w:val="clear" w:color="auto" w:fill="auto"/>
          <w:lang w:val="ru-RU" w:eastAsia="ru-RU" w:bidi="ru-RU"/>
        </w:rPr>
        <w:t xml:space="preserve">Кому </w:t>
      </w:r>
      <w:r>
        <w:rPr>
          <w:color w:val="717171"/>
          <w:spacing w:val="0"/>
          <w:w w:val="100"/>
          <w:position w:val="0"/>
          <w:sz w:val="12"/>
          <w:szCs w:val="12"/>
          <w:shd w:val="clear" w:color="auto" w:fill="auto"/>
          <w:lang w:val="ru-RU" w:eastAsia="ru-RU" w:bidi="ru-RU"/>
        </w:rPr>
        <w:t xml:space="preserve">выдан: </w:t>
      </w:r>
      <w:r>
        <w:rPr>
          <w:color w:val="000000"/>
          <w:spacing w:val="0"/>
          <w:w w:val="100"/>
          <w:position w:val="0"/>
          <w:sz w:val="11"/>
          <w:szCs w:val="11"/>
          <w:shd w:val="clear" w:color="auto" w:fill="auto"/>
          <w:lang w:val="ru-RU" w:eastAsia="ru-RU" w:bidi="ru-RU"/>
        </w:rPr>
        <w:t>Дьяконов Владимир Александрович</w:t>
      </w:r>
    </w:p>
    <w:p>
      <w:pPr>
        <w:pStyle w:val="Style25"/>
        <w:keepNext w:val="0"/>
        <w:keepLines w:val="0"/>
        <w:widowControl w:val="0"/>
        <w:shd w:val="clear" w:color="auto" w:fill="auto"/>
        <w:bidi w:val="0"/>
        <w:spacing w:before="0" w:after="0" w:line="240" w:lineRule="auto"/>
        <w:ind w:right="0" w:firstLine="0"/>
        <w:jc w:val="left"/>
      </w:pPr>
      <w:r>
        <w:rPr>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spacing w:val="0"/>
          <w:w w:val="100"/>
          <w:position w:val="0"/>
          <w:shd w:val="clear" w:color="auto" w:fill="auto"/>
          <w:lang w:val="ru-RU" w:eastAsia="ru-RU" w:bidi="ru-RU"/>
        </w:rPr>
        <w:t>00А9ЕЮ1Е166А21АЮВ58С4СО712С1СС9</w:t>
      </w:r>
      <w:r>
        <w:rPr>
          <w:spacing w:val="0"/>
          <w:w w:val="100"/>
          <w:position w:val="0"/>
          <w:shd w:val="clear" w:color="auto" w:fill="auto"/>
          <w:lang w:val="ru-RU" w:eastAsia="ru-RU" w:bidi="ru-RU"/>
        </w:rPr>
        <w:t>9</w:t>
      </w:r>
    </w:p>
    <w:p>
      <w:pPr>
        <w:pStyle w:val="Style25"/>
        <w:keepNext w:val="0"/>
        <w:keepLines w:val="0"/>
        <w:widowControl w:val="0"/>
        <w:shd w:val="clear" w:color="auto" w:fill="auto"/>
        <w:bidi w:val="0"/>
        <w:spacing w:before="0" w:after="2780" w:line="240" w:lineRule="auto"/>
        <w:ind w:right="0" w:firstLine="0"/>
        <w:jc w:val="left"/>
      </w:pPr>
      <w:r>
        <w:rPr>
          <w:spacing w:val="0"/>
          <w:w w:val="100"/>
          <w:position w:val="0"/>
          <w:shd w:val="clear" w:color="auto" w:fill="auto"/>
          <w:lang w:val="ru-RU" w:eastAsia="ru-RU" w:bidi="ru-RU"/>
        </w:rPr>
        <w:t xml:space="preserve">Действителен </w:t>
      </w:r>
      <w:r>
        <w:rPr>
          <w:color w:val="212121"/>
          <w:spacing w:val="0"/>
          <w:w w:val="100"/>
          <w:position w:val="0"/>
          <w:shd w:val="clear" w:color="auto" w:fill="auto"/>
          <w:lang w:val="ru-RU" w:eastAsia="ru-RU" w:bidi="ru-RU"/>
        </w:rPr>
        <w:t xml:space="preserve">с </w:t>
      </w:r>
      <w:r>
        <w:rPr>
          <w:spacing w:val="0"/>
          <w:w w:val="100"/>
          <w:position w:val="0"/>
          <w:shd w:val="clear" w:color="auto" w:fill="auto"/>
          <w:lang w:val="ru-RU" w:eastAsia="ru-RU" w:bidi="ru-RU"/>
        </w:rPr>
        <w:t xml:space="preserve">05.09.2024 </w:t>
      </w:r>
      <w:r>
        <w:rPr>
          <w:color w:val="8D8D8D"/>
          <w:spacing w:val="0"/>
          <w:w w:val="100"/>
          <w:position w:val="0"/>
          <w:shd w:val="clear" w:color="auto" w:fill="auto"/>
          <w:lang w:val="ru-RU" w:eastAsia="ru-RU" w:bidi="ru-RU"/>
        </w:rPr>
        <w:t xml:space="preserve">по </w:t>
      </w:r>
      <w:r>
        <w:rPr>
          <w:spacing w:val="0"/>
          <w:w w:val="100"/>
          <w:position w:val="0"/>
          <w:shd w:val="clear" w:color="auto" w:fill="auto"/>
          <w:lang w:val="ru-RU" w:eastAsia="ru-RU" w:bidi="ru-RU"/>
        </w:rPr>
        <w:t>29.11.2025</w:t>
      </w:r>
    </w:p>
    <w:p>
      <w:pPr>
        <w:pStyle w:val="Style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Исп.Винницкая П.Д.</w:t>
      </w:r>
    </w:p>
    <w:p>
      <w:pPr>
        <w:pStyle w:val="Style2"/>
        <w:keepNext w:val="0"/>
        <w:keepLines w:val="0"/>
        <w:widowControl w:val="0"/>
        <w:shd w:val="clear" w:color="auto" w:fill="auto"/>
        <w:bidi w:val="0"/>
        <w:spacing w:before="0" w:after="160" w:line="240" w:lineRule="auto"/>
        <w:ind w:left="0" w:right="0" w:firstLine="0"/>
        <w:jc w:val="left"/>
      </w:pPr>
      <w:r>
        <w:rPr>
          <w:color w:val="000000"/>
          <w:spacing w:val="0"/>
          <w:w w:val="100"/>
          <w:position w:val="0"/>
          <w:shd w:val="clear" w:color="auto" w:fill="auto"/>
          <w:lang w:val="ru-RU" w:eastAsia="ru-RU" w:bidi="ru-RU"/>
        </w:rPr>
        <w:t>тел.8(4822) 34-24-31, вн. 069-113</w:t>
      </w:r>
    </w:p>
    <w:sectPr>
      <w:footnotePr>
        <w:pos w:val="pageBottom"/>
        <w:numFmt w:val="decimal"/>
        <w:numRestart w:val="continuous"/>
      </w:footnotePr>
      <w:type w:val="continuous"/>
      <w:pgSz w:w="11900" w:h="16840"/>
      <w:pgMar w:top="1666" w:right="541" w:bottom="1378" w:left="1106"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723900</wp:posOffset>
              </wp:positionH>
              <wp:positionV relativeFrom="page">
                <wp:posOffset>9857740</wp:posOffset>
              </wp:positionV>
              <wp:extent cx="572770" cy="100330"/>
              <wp:wrapNone/>
              <wp:docPr id="3" name="Shape 3"/>
              <a:graphic xmlns:a="http://schemas.openxmlformats.org/drawingml/2006/main">
                <a:graphicData uri="http://schemas.microsoft.com/office/word/2010/wordprocessingShape">
                  <wps:wsp>
                    <wps:cNvSpPr txBox="1"/>
                    <wps:spPr>
                      <a:xfrm>
                        <a:ext cx="572770" cy="100330"/>
                      </a:xfrm>
                      <a:prstGeom prst="rect"/>
                      <a:noFill/>
                    </wps:spPr>
                    <wps:txbx>
                      <w:txbxContent>
                        <w:p>
                          <w:pPr>
                            <w:pStyle w:val="Style14"/>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2025-766</w:t>
                          </w:r>
                        </w:p>
                      </w:txbxContent>
                    </wps:txbx>
                    <wps:bodyPr wrap="none" lIns="0" tIns="0" rIns="0" bIns="0">
                      <a:spAutoFit/>
                    </wps:bodyPr>
                  </wps:wsp>
                </a:graphicData>
              </a:graphic>
            </wp:anchor>
          </w:drawing>
        </mc:Choice>
        <mc:Fallback>
          <w:pict>
            <v:shape id="_x0000_s1029" type="#_x0000_t202" style="position:absolute;margin-left:57.pt;margin-top:776.20000000000005pt;width:45.100000000000001pt;height:7.9000000000000004pt;z-index:-188744063;mso-wrap-style:none;mso-wrap-distance-left:0;mso-wrap-distance-right:0;mso-position-horizontal-relative:page;mso-position-vertical-relative:page" wrapcoords="0 0" filled="f" stroked="f">
              <v:textbox style="mso-fit-shape-to-text:t" inset="0,0,0,0">
                <w:txbxContent>
                  <w:p>
                    <w:pPr>
                      <w:pStyle w:val="Style14"/>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2025-766</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4" behindDoc="1" locked="0" layoutInCell="1" allowOverlap="1">
              <wp:simplePos x="0" y="0"/>
              <wp:positionH relativeFrom="page">
                <wp:posOffset>721360</wp:posOffset>
              </wp:positionH>
              <wp:positionV relativeFrom="page">
                <wp:posOffset>10016490</wp:posOffset>
              </wp:positionV>
              <wp:extent cx="572770" cy="100330"/>
              <wp:wrapNone/>
              <wp:docPr id="9" name="Shape 9"/>
              <a:graphic xmlns:a="http://schemas.openxmlformats.org/drawingml/2006/main">
                <a:graphicData uri="http://schemas.microsoft.com/office/word/2010/wordprocessingShape">
                  <wps:wsp>
                    <wps:cNvSpPr txBox="1"/>
                    <wps:spPr>
                      <a:xfrm>
                        <a:ext cx="572770" cy="100330"/>
                      </a:xfrm>
                      <a:prstGeom prst="rect"/>
                      <a:noFill/>
                    </wps:spPr>
                    <wps:txbx>
                      <w:txbxContent>
                        <w:p>
                          <w:pPr>
                            <w:pStyle w:val="Style14"/>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2025-766</w:t>
                          </w:r>
                        </w:p>
                      </w:txbxContent>
                    </wps:txbx>
                    <wps:bodyPr wrap="none" lIns="0" tIns="0" rIns="0" bIns="0">
                      <a:spAutoFit/>
                    </wps:bodyPr>
                  </wps:wsp>
                </a:graphicData>
              </a:graphic>
            </wp:anchor>
          </w:drawing>
        </mc:Choice>
        <mc:Fallback>
          <w:pict>
            <v:shape id="_x0000_s1035" type="#_x0000_t202" style="position:absolute;margin-left:56.800000000000004pt;margin-top:788.70000000000005pt;width:45.100000000000001pt;height:7.9000000000000004pt;z-index:-188744059;mso-wrap-style:none;mso-wrap-distance-left:0;mso-wrap-distance-right:0;mso-position-horizontal-relative:page;mso-position-vertical-relative:page" wrapcoords="0 0" filled="f" stroked="f">
              <v:textbox style="mso-fit-shape-to-text:t" inset="0,0,0,0">
                <w:txbxContent>
                  <w:p>
                    <w:pPr>
                      <w:pStyle w:val="Style14"/>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2025-766</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3902075</wp:posOffset>
              </wp:positionH>
              <wp:positionV relativeFrom="page">
                <wp:posOffset>759460</wp:posOffset>
              </wp:positionV>
              <wp:extent cx="128270" cy="106680"/>
              <wp:wrapNone/>
              <wp:docPr id="7" name="Shape 7"/>
              <a:graphic xmlns:a="http://schemas.openxmlformats.org/drawingml/2006/main">
                <a:graphicData uri="http://schemas.microsoft.com/office/word/2010/wordprocessingShape">
                  <wps:wsp>
                    <wps:cNvSpPr txBox="1"/>
                    <wps:spPr>
                      <a:xfrm>
                        <a:ext cx="128270" cy="106680"/>
                      </a:xfrm>
                      <a:prstGeom prst="rect"/>
                      <a:noFill/>
                    </wps:spPr>
                    <wps:txbx>
                      <w:txbxContent>
                        <w:p>
                          <w:pPr>
                            <w:pStyle w:val="Style14"/>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wps:txbx>
                    <wps:bodyPr wrap="none" lIns="0" tIns="0" rIns="0" bIns="0">
                      <a:spAutoFit/>
                    </wps:bodyPr>
                  </wps:wsp>
                </a:graphicData>
              </a:graphic>
            </wp:anchor>
          </w:drawing>
        </mc:Choice>
        <mc:Fallback>
          <w:pict>
            <v:shape id="_x0000_s1033" type="#_x0000_t202" style="position:absolute;margin-left:307.25pt;margin-top:59.800000000000004pt;width:10.1pt;height:8.4000000000000004pt;z-index:-188744061;mso-wrap-style:none;mso-wrap-distance-left:0;mso-wrap-distance-right:0;mso-position-horizontal-relative:page;mso-position-vertical-relative:page" wrapcoords="0 0" filled="f" stroked="f">
              <v:textbox style="mso-fit-shape-to-text:t" inset="0,0,0,0">
                <w:txbxContent>
                  <w:p>
                    <w:pPr>
                      <w:pStyle w:val="Style14"/>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v:textbox>
              <w10:wrap anchorx="page" anchory="page"/>
            </v:shape>
          </w:pict>
        </mc:Fallback>
      </mc:AlternateContent>
    </w:r>
  </w:p>
</w:hdr>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bidi="ru-RU"/>
      </w:rPr>
    </w:lvl>
  </w:abstractNum>
  <w:abstractNum w:abstractNumId="2">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bidi="ru-RU"/>
      </w:rPr>
    </w:lvl>
  </w:abstractNum>
  <w:abstractNum w:abstractNumId="4">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bidi="ru-RU"/>
      </w:rPr>
    </w:lvl>
  </w:abstractNum>
  <w:abstractNum w:abstractNumId="6">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bidi="ru-RU"/>
      </w:rPr>
    </w:lvl>
  </w:abstractNum>
  <w:abstractNum w:abstractNumId="8">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bidi="ru-RU"/>
      </w:rPr>
    </w:lvl>
  </w:abstractNum>
  <w:abstractNum w:abstractNumId="10">
    <w:multiLevelType w:val="multilevel"/>
    <w:lvl w:ilvl="0">
      <w:start w:val="4"/>
      <w:numFmt w:val="decimal"/>
      <w:lvlText w:val="%1"/>
    </w:lvl>
    <w:lvl w:ilvl="1">
      <w:start w:val="1"/>
      <w:numFmt w:val="decimal"/>
      <w:lvlText w:val="%1.%2"/>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bidi="ru-RU"/>
      </w:rPr>
    </w:lvl>
  </w:abstractNum>
  <w:abstractNum w:abstractNumId="12">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bidi="ru-RU"/>
      </w:rPr>
    </w:lvl>
  </w:abstractNum>
  <w:abstractNum w:abstractNumId="14">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bidi="ru-RU"/>
      </w:rPr>
    </w:lvl>
  </w:abstractNum>
  <w:abstractNum w:abstractNumId="16">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bidi="ru-RU"/>
      </w:rPr>
    </w:lvl>
  </w:abstractNum>
  <w:num w:numId="1">
    <w:abstractNumId w:val="0"/>
  </w:num>
  <w:num w:numId="3">
    <w:abstractNumId w:val="2"/>
  </w:num>
  <w:num w:numId="5">
    <w:abstractNumId w:val="4"/>
  </w:num>
  <w:num w:numId="7">
    <w:abstractNumId w:val="6"/>
  </w:num>
  <w:num w:numId="9">
    <w:abstractNumId w:val="8"/>
  </w:num>
  <w:num w:numId="11">
    <w:abstractNumId w:val="10"/>
  </w:num>
  <w:num w:numId="13">
    <w:abstractNumId w:val="12"/>
  </w:num>
  <w:num w:numId="15">
    <w:abstractNumId w:val="14"/>
  </w:num>
  <w:num w:numId="17">
    <w:abstractNumId w:val="16"/>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customStyle="1" w:styleId="CharStyle3">
    <w:name w:val="Основной текст (3)_"/>
    <w:basedOn w:val="DefaultParagraphFont"/>
    <w:link w:val="Style2"/>
    <w:rPr>
      <w:rFonts w:ascii="Times New Roman" w:eastAsia="Times New Roman" w:hAnsi="Times New Roman" w:cs="Times New Roman"/>
      <w:b w:val="0"/>
      <w:bCs w:val="0"/>
      <w:i w:val="0"/>
      <w:iCs w:val="0"/>
      <w:smallCaps w:val="0"/>
      <w:strike w:val="0"/>
      <w:color w:val="466099"/>
      <w:sz w:val="16"/>
      <w:szCs w:val="16"/>
      <w:u w:val="none"/>
    </w:rPr>
  </w:style>
  <w:style w:type="character" w:customStyle="1" w:styleId="CharStyle6">
    <w:name w:val="Основной текст (4)_"/>
    <w:basedOn w:val="DefaultParagraphFont"/>
    <w:link w:val="Style5"/>
    <w:rPr>
      <w:rFonts w:ascii="Times New Roman" w:eastAsia="Times New Roman" w:hAnsi="Times New Roman" w:cs="Times New Roman"/>
      <w:b/>
      <w:bCs/>
      <w:i w:val="0"/>
      <w:iCs w:val="0"/>
      <w:smallCaps w:val="0"/>
      <w:strike w:val="0"/>
      <w:color w:val="466099"/>
      <w:sz w:val="19"/>
      <w:szCs w:val="19"/>
      <w:u w:val="none"/>
    </w:rPr>
  </w:style>
  <w:style w:type="character" w:customStyle="1" w:styleId="CharStyle8">
    <w:name w:val="Основной текст (5)_"/>
    <w:basedOn w:val="DefaultParagraphFont"/>
    <w:link w:val="Style7"/>
    <w:rPr>
      <w:rFonts w:ascii="Times New Roman" w:eastAsia="Times New Roman" w:hAnsi="Times New Roman" w:cs="Times New Roman"/>
      <w:b w:val="0"/>
      <w:bCs w:val="0"/>
      <w:i w:val="0"/>
      <w:iCs w:val="0"/>
      <w:smallCaps w:val="0"/>
      <w:strike w:val="0"/>
      <w:sz w:val="30"/>
      <w:szCs w:val="30"/>
      <w:u w:val="single"/>
    </w:rPr>
  </w:style>
  <w:style w:type="character" w:customStyle="1" w:styleId="CharStyle12">
    <w:name w:val="Основной текст_"/>
    <w:basedOn w:val="DefaultParagraphFont"/>
    <w:link w:val="Style11"/>
    <w:rPr>
      <w:rFonts w:ascii="Times New Roman" w:eastAsia="Times New Roman" w:hAnsi="Times New Roman" w:cs="Times New Roman"/>
      <w:b w:val="0"/>
      <w:bCs w:val="0"/>
      <w:i w:val="0"/>
      <w:iCs w:val="0"/>
      <w:smallCaps w:val="0"/>
      <w:strike w:val="0"/>
      <w:sz w:val="26"/>
      <w:szCs w:val="26"/>
      <w:u w:val="none"/>
    </w:rPr>
  </w:style>
  <w:style w:type="character" w:customStyle="1" w:styleId="CharStyle15">
    <w:name w:val="Колонтитул (2)_"/>
    <w:basedOn w:val="DefaultParagraphFont"/>
    <w:link w:val="Style14"/>
    <w:rPr>
      <w:rFonts w:ascii="Times New Roman" w:eastAsia="Times New Roman" w:hAnsi="Times New Roman" w:cs="Times New Roman"/>
      <w:b w:val="0"/>
      <w:bCs w:val="0"/>
      <w:i w:val="0"/>
      <w:iCs w:val="0"/>
      <w:smallCaps w:val="0"/>
      <w:strike w:val="0"/>
      <w:sz w:val="20"/>
      <w:szCs w:val="20"/>
      <w:u w:val="none"/>
    </w:rPr>
  </w:style>
  <w:style w:type="character" w:customStyle="1" w:styleId="CharStyle19">
    <w:name w:val="Подпись к картинке_"/>
    <w:basedOn w:val="DefaultParagraphFont"/>
    <w:link w:val="Style18"/>
    <w:rPr>
      <w:rFonts w:ascii="Times New Roman" w:eastAsia="Times New Roman" w:hAnsi="Times New Roman" w:cs="Times New Roman"/>
      <w:b w:val="0"/>
      <w:bCs w:val="0"/>
      <w:i w:val="0"/>
      <w:iCs w:val="0"/>
      <w:smallCaps w:val="0"/>
      <w:strike w:val="0"/>
      <w:color w:val="212121"/>
      <w:sz w:val="12"/>
      <w:szCs w:val="12"/>
      <w:u w:val="none"/>
    </w:rPr>
  </w:style>
  <w:style w:type="character" w:customStyle="1" w:styleId="CharStyle26">
    <w:name w:val="Основной текст (2)_"/>
    <w:basedOn w:val="DefaultParagraphFont"/>
    <w:link w:val="Style25"/>
    <w:rPr>
      <w:rFonts w:ascii="Arial" w:eastAsia="Arial" w:hAnsi="Arial" w:cs="Arial"/>
      <w:b w:val="0"/>
      <w:bCs w:val="0"/>
      <w:i w:val="0"/>
      <w:iCs w:val="0"/>
      <w:smallCaps w:val="0"/>
      <w:strike w:val="0"/>
      <w:color w:val="4F4F4F"/>
      <w:sz w:val="12"/>
      <w:szCs w:val="12"/>
      <w:u w:val="none"/>
    </w:rPr>
  </w:style>
  <w:style w:type="paragraph" w:customStyle="1" w:styleId="Style2">
    <w:name w:val="Основной текст (3)"/>
    <w:basedOn w:val="Normal"/>
    <w:link w:val="CharStyle3"/>
    <w:pPr>
      <w:widowControl w:val="0"/>
      <w:shd w:val="clear" w:color="auto" w:fill="auto"/>
      <w:spacing w:after="20" w:line="276" w:lineRule="auto"/>
      <w:jc w:val="center"/>
    </w:pPr>
    <w:rPr>
      <w:rFonts w:ascii="Times New Roman" w:eastAsia="Times New Roman" w:hAnsi="Times New Roman" w:cs="Times New Roman"/>
      <w:b w:val="0"/>
      <w:bCs w:val="0"/>
      <w:i w:val="0"/>
      <w:iCs w:val="0"/>
      <w:smallCaps w:val="0"/>
      <w:strike w:val="0"/>
      <w:color w:val="466099"/>
      <w:sz w:val="16"/>
      <w:szCs w:val="16"/>
      <w:u w:val="none"/>
    </w:rPr>
  </w:style>
  <w:style w:type="paragraph" w:customStyle="1" w:styleId="Style5">
    <w:name w:val="Основной текст (4)"/>
    <w:basedOn w:val="Normal"/>
    <w:link w:val="CharStyle6"/>
    <w:pPr>
      <w:widowControl w:val="0"/>
      <w:shd w:val="clear" w:color="auto" w:fill="auto"/>
      <w:spacing w:after="180"/>
      <w:jc w:val="center"/>
    </w:pPr>
    <w:rPr>
      <w:rFonts w:ascii="Times New Roman" w:eastAsia="Times New Roman" w:hAnsi="Times New Roman" w:cs="Times New Roman"/>
      <w:b/>
      <w:bCs/>
      <w:i w:val="0"/>
      <w:iCs w:val="0"/>
      <w:smallCaps w:val="0"/>
      <w:strike w:val="0"/>
      <w:color w:val="466099"/>
      <w:sz w:val="19"/>
      <w:szCs w:val="19"/>
      <w:u w:val="none"/>
    </w:rPr>
  </w:style>
  <w:style w:type="paragraph" w:customStyle="1" w:styleId="Style7">
    <w:name w:val="Основной текст (5)"/>
    <w:basedOn w:val="Normal"/>
    <w:link w:val="CharStyle8"/>
    <w:pPr>
      <w:widowControl w:val="0"/>
      <w:shd w:val="clear" w:color="auto" w:fill="auto"/>
      <w:spacing w:after="320"/>
      <w:ind w:firstLine="160"/>
    </w:pPr>
    <w:rPr>
      <w:rFonts w:ascii="Times New Roman" w:eastAsia="Times New Roman" w:hAnsi="Times New Roman" w:cs="Times New Roman"/>
      <w:b w:val="0"/>
      <w:bCs w:val="0"/>
      <w:i w:val="0"/>
      <w:iCs w:val="0"/>
      <w:smallCaps w:val="0"/>
      <w:strike w:val="0"/>
      <w:sz w:val="30"/>
      <w:szCs w:val="30"/>
      <w:u w:val="single"/>
    </w:rPr>
  </w:style>
  <w:style w:type="paragraph" w:customStyle="1" w:styleId="Style11">
    <w:name w:val="Основной текст"/>
    <w:basedOn w:val="Normal"/>
    <w:link w:val="CharStyle12"/>
    <w:pPr>
      <w:widowControl w:val="0"/>
      <w:shd w:val="clear" w:color="auto" w:fill="auto"/>
      <w:ind w:firstLine="400"/>
    </w:pPr>
    <w:rPr>
      <w:rFonts w:ascii="Times New Roman" w:eastAsia="Times New Roman" w:hAnsi="Times New Roman" w:cs="Times New Roman"/>
      <w:b w:val="0"/>
      <w:bCs w:val="0"/>
      <w:i w:val="0"/>
      <w:iCs w:val="0"/>
      <w:smallCaps w:val="0"/>
      <w:strike w:val="0"/>
      <w:sz w:val="26"/>
      <w:szCs w:val="26"/>
      <w:u w:val="none"/>
    </w:rPr>
  </w:style>
  <w:style w:type="paragraph" w:customStyle="1" w:styleId="Style14">
    <w:name w:val="Колонтитул (2)"/>
    <w:basedOn w:val="Normal"/>
    <w:link w:val="CharStyle15"/>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 w:type="paragraph" w:customStyle="1" w:styleId="Style18">
    <w:name w:val="Подпись к картинке"/>
    <w:basedOn w:val="Normal"/>
    <w:link w:val="CharStyle19"/>
    <w:pPr>
      <w:widowControl w:val="0"/>
      <w:shd w:val="clear" w:color="auto" w:fill="auto"/>
      <w:spacing w:line="218" w:lineRule="auto"/>
    </w:pPr>
    <w:rPr>
      <w:rFonts w:ascii="Times New Roman" w:eastAsia="Times New Roman" w:hAnsi="Times New Roman" w:cs="Times New Roman"/>
      <w:b w:val="0"/>
      <w:bCs w:val="0"/>
      <w:i w:val="0"/>
      <w:iCs w:val="0"/>
      <w:smallCaps w:val="0"/>
      <w:strike w:val="0"/>
      <w:color w:val="212121"/>
      <w:sz w:val="12"/>
      <w:szCs w:val="12"/>
      <w:u w:val="none"/>
    </w:rPr>
  </w:style>
  <w:style w:type="paragraph" w:customStyle="1" w:styleId="Style25">
    <w:name w:val="Основной текст (2)"/>
    <w:basedOn w:val="Normal"/>
    <w:link w:val="CharStyle26"/>
    <w:pPr>
      <w:widowControl w:val="0"/>
      <w:shd w:val="clear" w:color="auto" w:fill="auto"/>
      <w:ind w:left="3160"/>
    </w:pPr>
    <w:rPr>
      <w:rFonts w:ascii="Arial" w:eastAsia="Arial" w:hAnsi="Arial" w:cs="Arial"/>
      <w:b w:val="0"/>
      <w:bCs w:val="0"/>
      <w:i w:val="0"/>
      <w:iCs w:val="0"/>
      <w:smallCaps w:val="0"/>
      <w:strike w:val="0"/>
      <w:color w:val="4F4F4F"/>
      <w:sz w:val="12"/>
      <w:szCs w:val="12"/>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footer" Target="footer1.xml"/><Relationship Id="rId6" Type="http://schemas.openxmlformats.org/officeDocument/2006/relationships/image" Target="media/image1.jpeg"/><Relationship Id="rId7" Type="http://schemas.openxmlformats.org/officeDocument/2006/relationships/image" Target="media/image1.jpeg" TargetMode="External"/><Relationship Id="rId8" Type="http://schemas.openxmlformats.org/officeDocument/2006/relationships/header" Target="header1.xml"/><Relationship Id="rId9" Type="http://schemas.openxmlformats.org/officeDocument/2006/relationships/footer" Target="footer2.xml"/><Relationship Id="rId10" Type="http://schemas.openxmlformats.org/officeDocument/2006/relationships/image" Target="media/image2.jpeg"/><Relationship Id="rId11" Type="http://schemas.openxmlformats.org/officeDocument/2006/relationships/image" Target="media/image2.jpeg" TargetMode="External"/><Relationship Id="rId12" Type="http://schemas.openxmlformats.org/officeDocument/2006/relationships/image" Target="media/image3.jpeg"/><Relationship Id="rId13" Type="http://schemas.openxmlformats.org/officeDocument/2006/relationships/image" Target="media/image3.jpeg" TargetMode="External"/><Relationship Id="rId14" Type="http://schemas.openxmlformats.org/officeDocument/2006/relationships/image" Target="media/image4.jpeg"/><Relationship Id="rId15" Type="http://schemas.openxmlformats.org/officeDocument/2006/relationships/image" Target="media/image4.jpeg" TargetMode="External"/></Relationships>
</file>