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48585" distL="1165860" distR="1126490" simplePos="0" relativeHeight="125829378" behindDoc="0" locked="0" layoutInCell="1" allowOverlap="1">
            <wp:simplePos x="0" y="0"/>
            <wp:positionH relativeFrom="page">
              <wp:posOffset>1775460</wp:posOffset>
            </wp:positionH>
            <wp:positionV relativeFrom="paragraph">
              <wp:posOffset>12700</wp:posOffset>
            </wp:positionV>
            <wp:extent cx="536575" cy="61595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6575" cy="615950"/>
                    </a:xfrm>
                    <a:prstGeom prst="rect"/>
                  </pic:spPr>
                </pic:pic>
              </a:graphicData>
            </a:graphic>
          </wp:anchor>
        </w:drawing>
      </w:r>
      <w:r>
        <mc:AlternateContent>
          <mc:Choice Requires="wps">
            <w:drawing>
              <wp:anchor distT="716280" distB="789305" distL="114300" distR="132715" simplePos="0" relativeHeight="125829379" behindDoc="0" locked="0" layoutInCell="1" allowOverlap="1">
                <wp:simplePos x="0" y="0"/>
                <wp:positionH relativeFrom="page">
                  <wp:posOffset>723900</wp:posOffset>
                </wp:positionH>
                <wp:positionV relativeFrom="paragraph">
                  <wp:posOffset>728980</wp:posOffset>
                </wp:positionV>
                <wp:extent cx="2578735" cy="1755775"/>
                <wp:wrapSquare wrapText="right"/>
                <wp:docPr id="3" name="Shape 3"/>
                <a:graphic xmlns:a="http://schemas.openxmlformats.org/drawingml/2006/main">
                  <a:graphicData uri="http://schemas.microsoft.com/office/word/2010/wordprocessingShape">
                    <wps:wsp>
                      <wps:cNvSpPr txBox="1"/>
                      <wps:spPr>
                        <a:xfrm>
                          <a:ext cx="2578735" cy="1755775"/>
                        </a:xfrm>
                        <a:prstGeom prst="rect"/>
                        <a:noFill/>
                      </wps:spPr>
                      <wps:txbx>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1о34@Га8.§оу.ги</w:t>
                            </w:r>
                          </w:p>
                          <w:p>
                            <w:pPr>
                              <w:pStyle w:val="Style5"/>
                              <w:keepNext w:val="0"/>
                              <w:keepLines w:val="0"/>
                              <w:widowControl w:val="0"/>
                              <w:shd w:val="clear" w:color="auto" w:fill="auto"/>
                              <w:tabs>
                                <w:tab w:leader="underscore" w:pos="1762" w:val="left"/>
                                <w:tab w:leader="underscore" w:pos="3931" w:val="left"/>
                              </w:tabs>
                              <w:bidi w:val="0"/>
                              <w:spacing w:before="0" w:after="160"/>
                              <w:ind w:left="0" w:right="0" w:firstLine="0"/>
                              <w:jc w:val="left"/>
                            </w:pPr>
                            <w:r>
                              <w:rPr>
                                <w:b w:val="0"/>
                                <w:bCs w:val="0"/>
                                <w:spacing w:val="0"/>
                                <w:w w:val="100"/>
                                <w:position w:val="0"/>
                                <w:shd w:val="clear" w:color="auto" w:fill="auto"/>
                                <w:lang w:val="ru-RU" w:eastAsia="ru-RU" w:bidi="ru-RU"/>
                              </w:rPr>
                              <w:tab/>
                              <w:t xml:space="preserve"> №</w:t>
                              <w:tab/>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57.399999999999999pt;width:203.05000000000001pt;height:138.25pt;z-index:-125829374;mso-wrap-distance-left:9.pt;mso-wrap-distance-top:56.399999999999999pt;mso-wrap-distance-right:10.450000000000001pt;mso-wrap-distance-bottom:62.149999999999999pt;mso-position-horizontal-relative:page" filled="f" stroked="f">
                <v:textbox inset="0,0,0,0">
                  <w:txbxContent>
                    <w:p>
                      <w:pPr>
                        <w:pStyle w:val="Style2"/>
                        <w:keepNext w:val="0"/>
                        <w:keepLines w:val="0"/>
                        <w:widowControl w:val="0"/>
                        <w:shd w:val="clear" w:color="auto" w:fill="auto"/>
                        <w:bidi w:val="0"/>
                        <w:spacing w:before="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5"/>
                        <w:keepNext w:val="0"/>
                        <w:keepLines w:val="0"/>
                        <w:widowControl w:val="0"/>
                        <w:shd w:val="clear" w:color="auto" w:fill="auto"/>
                        <w:bidi w:val="0"/>
                        <w:spacing w:before="0" w:after="180"/>
                        <w:ind w:left="0" w:right="0" w:firstLine="0"/>
                        <w:jc w:val="center"/>
                      </w:pPr>
                      <w:r>
                        <w:rPr>
                          <w:spacing w:val="0"/>
                          <w:w w:val="100"/>
                          <w:position w:val="0"/>
                          <w:shd w:val="clear" w:color="auto" w:fill="auto"/>
                          <w:lang w:val="ru-RU" w:eastAsia="ru-RU" w:bidi="ru-RU"/>
                        </w:rPr>
                        <w:t>Федеральной антимонопольной службы</w:t>
                        <w:br/>
                        <w:t>по Волгоградской области</w:t>
                      </w:r>
                    </w:p>
                    <w:p>
                      <w:pPr>
                        <w:pStyle w:val="Style2"/>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ул. 7-я Гвардейская, д. 12, г. Волгоград, 400005</w:t>
                        <w:br/>
                        <w:t>тел. (8442) 24-22-65, факс (8442) 24-22-76</w:t>
                      </w:r>
                    </w:p>
                    <w:p>
                      <w:pPr>
                        <w:pStyle w:val="Style2"/>
                        <w:keepNext w:val="0"/>
                        <w:keepLines w:val="0"/>
                        <w:widowControl w:val="0"/>
                        <w:shd w:val="clear" w:color="auto" w:fill="auto"/>
                        <w:bidi w:val="0"/>
                        <w:spacing w:before="0" w:after="420" w:line="269" w:lineRule="auto"/>
                        <w:ind w:left="0" w:right="0" w:firstLine="0"/>
                        <w:jc w:val="center"/>
                      </w:pPr>
                      <w:r>
                        <w:rPr>
                          <w:spacing w:val="0"/>
                          <w:w w:val="100"/>
                          <w:position w:val="0"/>
                          <w:shd w:val="clear" w:color="auto" w:fill="auto"/>
                          <w:lang w:val="ru-RU" w:eastAsia="ru-RU" w:bidi="ru-RU"/>
                        </w:rPr>
                        <w:t>е-тай: 1о34@Га8.§оу.ги</w:t>
                      </w:r>
                    </w:p>
                    <w:p>
                      <w:pPr>
                        <w:pStyle w:val="Style5"/>
                        <w:keepNext w:val="0"/>
                        <w:keepLines w:val="0"/>
                        <w:widowControl w:val="0"/>
                        <w:shd w:val="clear" w:color="auto" w:fill="auto"/>
                        <w:tabs>
                          <w:tab w:leader="underscore" w:pos="1762" w:val="left"/>
                          <w:tab w:leader="underscore" w:pos="3931" w:val="left"/>
                        </w:tabs>
                        <w:bidi w:val="0"/>
                        <w:spacing w:before="0" w:after="160"/>
                        <w:ind w:left="0" w:right="0" w:firstLine="0"/>
                        <w:jc w:val="left"/>
                      </w:pPr>
                      <w:r>
                        <w:rPr>
                          <w:b w:val="0"/>
                          <w:bCs w:val="0"/>
                          <w:spacing w:val="0"/>
                          <w:w w:val="100"/>
                          <w:position w:val="0"/>
                          <w:shd w:val="clear" w:color="auto" w:fill="auto"/>
                          <w:lang w:val="ru-RU" w:eastAsia="ru-RU" w:bidi="ru-RU"/>
                        </w:rPr>
                        <w:tab/>
                        <w:t xml:space="preserve"> №</w:t>
                        <w:tab/>
                      </w:r>
                    </w:p>
                  </w:txbxContent>
                </v:textbox>
                <w10:wrap type="square" side="right" anchorx="page"/>
              </v:shape>
            </w:pict>
          </mc:Fallback>
        </mc:AlternateContent>
      </w:r>
      <w:r>
        <w:drawing>
          <wp:anchor distT="3081020" distB="0" distL="117475" distR="114300" simplePos="0" relativeHeight="125829381" behindDoc="0" locked="0" layoutInCell="1" allowOverlap="1">
            <wp:simplePos x="0" y="0"/>
            <wp:positionH relativeFrom="page">
              <wp:posOffset>727075</wp:posOffset>
            </wp:positionH>
            <wp:positionV relativeFrom="paragraph">
              <wp:posOffset>3093720</wp:posOffset>
            </wp:positionV>
            <wp:extent cx="2597150" cy="182880"/>
            <wp:wrapSquare wrapText="right"/>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2597150" cy="18288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723900</wp:posOffset>
                </wp:positionH>
                <wp:positionV relativeFrom="paragraph">
                  <wp:posOffset>2658110</wp:posOffset>
                </wp:positionV>
                <wp:extent cx="2578735" cy="130810"/>
                <wp:wrapNone/>
                <wp:docPr id="7" name="Shape 7"/>
                <a:graphic xmlns:a="http://schemas.openxmlformats.org/drawingml/2006/main">
                  <a:graphicData uri="http://schemas.microsoft.com/office/word/2010/wordprocessingShape">
                    <wps:wsp>
                      <wps:cNvSpPr txBox="1"/>
                      <wps:spPr>
                        <a:xfrm>
                          <a:ext cx="2578735" cy="130810"/>
                        </a:xfrm>
                        <a:prstGeom prst="rect"/>
                        <a:noFill/>
                      </wps:spPr>
                      <wps:txbx>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 id="_x0000_s1033" type="#_x0000_t202" style="position:absolute;margin-left:57.pt;margin-top:209.30000000000001pt;width:203.05000000000001pt;height:10.300000000000001pt;z-index:251657729;mso-wrap-distance-left:0;mso-wrap-distance-right:0;mso-position-horizontal-relative:page" filled="f" stroked="f">
                <v:textbox inset="0,0,0,0">
                  <w:txbxContent>
                    <w:p>
                      <w:pPr>
                        <w:pStyle w:val="Style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от</w:t>
                      </w:r>
                    </w:p>
                  </w:txbxContent>
                </v:textbox>
                <w10:wrap anchorx="page"/>
              </v:shape>
            </w:pict>
          </mc:Fallback>
        </mc:AlternateContent>
      </w:r>
    </w:p>
    <w:p>
      <w:pPr>
        <w:pStyle w:val="Style10"/>
        <w:keepNext w:val="0"/>
        <w:keepLines w:val="0"/>
        <w:widowControl w:val="0"/>
        <w:shd w:val="clear" w:color="auto" w:fill="auto"/>
        <w:bidi w:val="0"/>
        <w:spacing w:before="0" w:after="0" w:line="240" w:lineRule="auto"/>
        <w:ind w:left="1020" w:right="0" w:firstLine="0"/>
        <w:jc w:val="both"/>
        <w:rPr>
          <w:sz w:val="28"/>
          <w:szCs w:val="28"/>
        </w:rPr>
      </w:pPr>
      <w:r>
        <w:rPr>
          <w:color w:val="000000"/>
          <w:spacing w:val="0"/>
          <w:w w:val="100"/>
          <w:position w:val="0"/>
          <w:sz w:val="28"/>
          <w:szCs w:val="28"/>
          <w:shd w:val="clear" w:color="auto" w:fill="auto"/>
          <w:lang w:val="ru-RU" w:eastAsia="ru-RU" w:bidi="ru-RU"/>
        </w:rPr>
        <w:t>Комитет по регулированию контрактной системы в сфере закупок Волгоградской области</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ул.Новороссийская, д.15, Волгоград, 400066</w:t>
      </w:r>
    </w:p>
    <w:p>
      <w:pPr>
        <w:pStyle w:val="Style10"/>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до8/ака/@Vо1дапе1.^и</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ИП Гумеров Ренат Флунович</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Казань, ул. Абубекира Терегулова, д.</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20а, кв.97</w:t>
      </w:r>
    </w:p>
    <w:p>
      <w:pPr>
        <w:pStyle w:val="Style10"/>
        <w:keepNext w:val="0"/>
        <w:keepLines w:val="0"/>
        <w:widowControl w:val="0"/>
        <w:shd w:val="clear" w:color="auto" w:fill="auto"/>
        <w:bidi w:val="0"/>
        <w:spacing w:before="0" w:after="28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Го!опйу600@уапдех.ги</w:t>
      </w:r>
    </w:p>
    <w:p>
      <w:pPr>
        <w:pStyle w:val="Style10"/>
        <w:keepNext w:val="0"/>
        <w:keepLines w:val="0"/>
        <w:widowControl w:val="0"/>
        <w:shd w:val="clear" w:color="auto" w:fill="auto"/>
        <w:bidi w:val="0"/>
        <w:spacing w:before="0" w:after="0" w:line="240" w:lineRule="auto"/>
        <w:ind w:left="1020" w:right="0" w:firstLine="0"/>
        <w:jc w:val="left"/>
        <w:rPr>
          <w:sz w:val="28"/>
          <w:szCs w:val="28"/>
        </w:rPr>
      </w:pPr>
      <w:r>
        <w:rPr>
          <w:color w:val="000000"/>
          <w:spacing w:val="0"/>
          <w:w w:val="100"/>
          <w:position w:val="0"/>
          <w:sz w:val="28"/>
          <w:szCs w:val="28"/>
          <w:shd w:val="clear" w:color="auto" w:fill="auto"/>
          <w:lang w:val="ru-RU" w:eastAsia="ru-RU" w:bidi="ru-RU"/>
        </w:rPr>
        <w:t>ГБУЗ "Волгоградская областная клиническая больница № 1" ул. Ангарская, д. 13, Волгоград, 400081</w:t>
      </w:r>
    </w:p>
    <w:p>
      <w:pPr>
        <w:pStyle w:val="Style10"/>
        <w:keepNext w:val="0"/>
        <w:keepLines w:val="0"/>
        <w:widowControl w:val="0"/>
        <w:shd w:val="clear" w:color="auto" w:fill="auto"/>
        <w:bidi w:val="0"/>
        <w:spacing w:before="0" w:after="280" w:line="240" w:lineRule="auto"/>
        <w:ind w:left="5320" w:right="0" w:firstLine="0"/>
        <w:jc w:val="left"/>
        <w:rPr>
          <w:sz w:val="28"/>
          <w:szCs w:val="28"/>
        </w:rPr>
      </w:pPr>
      <w:r>
        <w:rPr>
          <w:color w:val="000000"/>
          <w:spacing w:val="0"/>
          <w:w w:val="100"/>
          <w:position w:val="0"/>
          <w:sz w:val="28"/>
          <w:szCs w:val="28"/>
          <w:shd w:val="clear" w:color="auto" w:fill="auto"/>
          <w:lang w:val="ru-RU" w:eastAsia="ru-RU" w:bidi="ru-RU"/>
        </w:rPr>
        <w:t>VокЫ@Vо1дапе1.^и;к8@VокЫ.^и</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РЕШЕНИЕ</w:t>
        <w:br/>
        <w:t>по делу № 034/06/105-36/2025</w:t>
        <w:br/>
        <w:t>о нарушении законодательства о контрактной системе</w:t>
      </w:r>
    </w:p>
    <w:p>
      <w:pPr>
        <w:pStyle w:val="Style10"/>
        <w:keepNext w:val="0"/>
        <w:keepLines w:val="0"/>
        <w:widowControl w:val="0"/>
        <w:shd w:val="clear" w:color="auto" w:fill="auto"/>
        <w:bidi w:val="0"/>
        <w:spacing w:before="0" w:after="320" w:line="240" w:lineRule="auto"/>
        <w:ind w:left="0" w:right="0" w:firstLine="0"/>
        <w:jc w:val="left"/>
      </w:pPr>
      <w:r>
        <mc:AlternateContent>
          <mc:Choice Requires="wps">
            <w:drawing>
              <wp:anchor distT="0" distB="0" distL="114300" distR="114300" simplePos="0" relativeHeight="125829382" behindDoc="0" locked="0" layoutInCell="1" allowOverlap="1">
                <wp:simplePos x="0" y="0"/>
                <wp:positionH relativeFrom="page">
                  <wp:posOffset>6377940</wp:posOffset>
                </wp:positionH>
                <wp:positionV relativeFrom="paragraph">
                  <wp:posOffset>12700</wp:posOffset>
                </wp:positionV>
                <wp:extent cx="755650" cy="231775"/>
                <wp:wrapSquare wrapText="left"/>
                <wp:docPr id="9" name="Shape 9"/>
                <a:graphic xmlns:a="http://schemas.openxmlformats.org/drawingml/2006/main">
                  <a:graphicData uri="http://schemas.microsoft.com/office/word/2010/wordprocessingShape">
                    <wps:wsp>
                      <wps:cNvSpPr txBox="1"/>
                      <wps:spPr>
                        <a:xfrm>
                          <a:ext cx="755650" cy="23177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wps:txbx>
                      <wps:bodyPr wrap="none" lIns="0" tIns="0" rIns="0" bIns="0">
                        <a:noAutoFit/>
                      </wps:bodyPr>
                    </wps:wsp>
                  </a:graphicData>
                </a:graphic>
              </wp:anchor>
            </w:drawing>
          </mc:Choice>
          <mc:Fallback>
            <w:pict>
              <v:shape id="_x0000_s1035" type="#_x0000_t202" style="position:absolute;margin-left:502.19999999999999pt;margin-top:1.pt;width:59.5pt;height:18.25pt;z-index:-125829371;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Волгоград</w:t>
                      </w:r>
                    </w:p>
                  </w:txbxContent>
                </v:textbox>
                <w10:wrap type="square" side="left" anchorx="page"/>
              </v:shape>
            </w:pict>
          </mc:Fallback>
        </mc:AlternateContent>
      </w:r>
      <w:r>
        <w:rPr>
          <w:color w:val="000000"/>
          <w:spacing w:val="0"/>
          <w:w w:val="100"/>
          <w:position w:val="0"/>
          <w:shd w:val="clear" w:color="auto" w:fill="auto"/>
          <w:lang w:val="ru-RU" w:eastAsia="ru-RU" w:bidi="ru-RU"/>
        </w:rPr>
        <w:t>24 января 2025 года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Волгоградской области (далее - Волгоградское УФАС России, Управление) по контролю за соблюдением законодательства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участии представителей: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Комитет по регулированию контрактной системы в сфере закупок Волгоградской области, ГБУЗ «Волгоградская областная клиническая больница № 1», ИП Гумеров Ренат Флунович,</w:t>
      </w:r>
    </w:p>
    <w:p>
      <w:pPr>
        <w:pStyle w:val="Style10"/>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рассмотрев жалобу ИП Гумерова Рената Флуновича (далее - Заявитель) вх. № 392/25 от 17.01.2025 на действия комиссии по осуществлению закупки при проведении электронного аукциона «Поставка светильника операционного, ввод в эксплуатацию медицинских изделий, обучение правилам эксплуатации специалистов, эксплуатирующих медицинские изделия (АЭ73/ОМС/П/СМП/2025)» (номер извещения 0129200005324004270),</w:t>
      </w:r>
    </w:p>
    <w:p>
      <w:pPr>
        <w:pStyle w:val="Style10"/>
        <w:keepNext w:val="0"/>
        <w:keepLines w:val="0"/>
        <w:widowControl w:val="0"/>
        <w:shd w:val="clear" w:color="auto" w:fill="auto"/>
        <w:bidi w:val="0"/>
        <w:spacing w:before="0" w:after="28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0"/>
        <w:keepNext w:val="0"/>
        <w:keepLines w:val="0"/>
        <w:widowControl w:val="0"/>
        <w:shd w:val="clear" w:color="auto" w:fill="auto"/>
        <w:bidi w:val="0"/>
        <w:spacing w:before="0" w:after="320" w:line="240" w:lineRule="auto"/>
        <w:ind w:left="0" w:right="0" w:firstLine="740"/>
        <w:jc w:val="both"/>
      </w:pPr>
      <w:r>
        <w:rPr>
          <w:color w:val="000000"/>
          <w:spacing w:val="0"/>
          <w:w w:val="100"/>
          <w:position w:val="0"/>
          <w:shd w:val="clear" w:color="auto" w:fill="auto"/>
          <w:lang w:val="ru-RU" w:eastAsia="ru-RU" w:bidi="ru-RU"/>
        </w:rPr>
        <w:t>На официальном сайте \у\у\у./акиркгдоу.ги (далее - ЕИС) 25.12.2024 было размещено извещение о проведении электронного аукциона «Поставка светильника операционного, ввод в эксплуатацию медицинских изделий, обучение правилам эксплуатации специалистов, эксплуатирующих медицинские изделия</w:t>
      </w:r>
    </w:p>
    <w:p>
      <w:pPr>
        <w:pStyle w:val="Style16"/>
        <w:keepNext/>
        <w:keepLines/>
        <w:widowControl w:val="0"/>
        <w:shd w:val="clear" w:color="auto" w:fill="auto"/>
        <w:bidi w:val="0"/>
        <w:spacing w:before="0" w:line="240" w:lineRule="auto"/>
        <w:ind w:left="0" w:right="0" w:firstLine="0"/>
        <w:jc w:val="both"/>
        <w:sectPr>
          <w:footerReference w:type="default" r:id="rId9"/>
          <w:footnotePr>
            <w:pos w:val="pageBottom"/>
            <w:numFmt w:val="decimal"/>
            <w:numRestart w:val="continuous"/>
          </w:footnotePr>
          <w:pgSz w:w="11900" w:h="16840"/>
          <w:pgMar w:top="284" w:right="537" w:bottom="1198" w:left="1097" w:header="0" w:footer="3" w:gutter="0"/>
          <w:pgNumType w:start="1"/>
          <w:cols w:space="720"/>
          <w:noEndnote/>
          <w:rtlGutter w:val="0"/>
          <w:docGrid w:linePitch="360"/>
        </w:sectPr>
      </w:pPr>
      <w:bookmarkStart w:id="0" w:name="bookmark0"/>
      <w:r>
        <w:rPr>
          <w:color w:val="000000"/>
          <w:spacing w:val="0"/>
          <w:w w:val="100"/>
          <w:position w:val="0"/>
          <w:shd w:val="clear" w:color="auto" w:fill="auto"/>
          <w:lang w:val="ru-RU" w:eastAsia="ru-RU" w:bidi="ru-RU"/>
        </w:rPr>
        <w:t>1111111111111111111111II</w:t>
      </w:r>
      <w:bookmarkEnd w:id="0"/>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(АЭ73/ОМС/П/СМП/2025)» (номер извещения 0129200005324004270, далее - Извещение). Заказчик - ГБУЗ «Волгоградская областная клиническая больница № 1» (далее - Заказчик). Начальная (максимальная) цена контракта - 1 948 000,00 рублей.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15.01.2025 в ЕИС размещен «Протокол подведения итогов определения поставщика (подрядчика, исполнителя) от 15.01.2025 №ИЭА1», согласно которому победителем был признан участник закупки ООО «Люммед» с заявкой № 1.</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считает, что указанная заявка неправомерно была признана комиссией по осуществлению закупок соответствующей положениям Извещения, с учетом наличия основания применения положений Постановления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доводам жалобы, предложенный победителем товар не входит в Единый реестр российской радиоэлектронной продукции.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в рамках рассмотрения установила следующее.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15 части 1 статьи 42 Закона о контрактной системе в извещении об осуществлении закупки содержится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в соответствии со статьей 14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Частью 3 статьи 14 Закона о контрактной системе предусмотрено, что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устанавливается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 3 Правил формирования и ведения единого реестра российской радиоэлектронной продукции Постановление Правительства РФ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Правила) при осуществлении закупок радиоэлектронной продукции, включенной в перечень, за исключением установленного пунктом 3(1) настоящего постановления случая, заказчик отклоняет все заявки, содержащие предложения о поставке радиоэлектронной продукции, происходящей из иностранных государств (за исключением государств - членов Евразийского экономического союза), при условии, что на участие в закупке подана 1 (или более) удовлетворяющая требованиям извещения об осуществлении закупки, документации о закупке (в случае если Федеральным законом «О контрактной системе в сфере закупок товаров, работ, услуг для обеспечения государственных и муниципальных </w:t>
      </w:r>
      <w:r>
        <w:rPr>
          <w:color w:val="000000"/>
          <w:spacing w:val="0"/>
          <w:w w:val="100"/>
          <w:position w:val="0"/>
          <w:shd w:val="clear" w:color="auto" w:fill="auto"/>
          <w:lang w:val="ru-RU" w:eastAsia="ru-RU" w:bidi="ru-RU"/>
        </w:rPr>
        <w:t>нужд» предусмотрена документация о закупке) заявка, содержащая предложение о поставке радиоэлектронной продукции, страной происхождения которой являются только государства - члены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соответствии с п. 3(3) Правил для подтверждения соответствия радиоэлектронной продукции требованиям, предусмотренным пунктом 3(2) настоящего постановления, участник закупки указывает (декларирует) в составе заявки на участие в закупке номер реестровой записи из реестра или евразийского реестра промышленных товаров, а для целей подтверждения первого уровня радиоэлектронной продукции - также сведения о первом уровне радиоэлектронной продукции.</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адрес УФАС по Волгоградской области поступили письменные пояснения Заказчика и Уполномоченного органа, в которых с доводами жалобы не согласились, ввиду того, что «победитель продекларировал в документе Выписка из реестра промышленной продукции, входящий в состав заявки, порядковый номер реестровой записи в реестре российской промышленной продукции (Реестровая запись № 10221897) на предлагаемый к поставке товар, что является надлежащим исполнением пункта 3(3) Постановления № 878».</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Таким образом, поскольку Заявитель не представил Комиссии Волгоградского УФАС России доказательств того, что предложенный победителем товар не входит в Единый реестр российской радиоэлектронной продукции, довод жалобы не находит своего подтверждения и является необоснованным.</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Вместе с тем, Комиссия установила следующее.</w:t>
      </w:r>
    </w:p>
    <w:p>
      <w:pPr>
        <w:pStyle w:val="Style18"/>
        <w:keepNext w:val="0"/>
        <w:keepLines w:val="0"/>
        <w:widowControl w:val="0"/>
        <w:shd w:val="clear" w:color="auto" w:fill="auto"/>
        <w:bidi w:val="0"/>
        <w:spacing w:before="0" w:after="0" w:line="240" w:lineRule="auto"/>
        <w:ind w:left="0" w:right="0" w:firstLine="0"/>
        <w:jc w:val="both"/>
      </w:pPr>
      <w:r>
        <w:rPr>
          <w:color w:val="000000"/>
          <w:spacing w:val="0"/>
          <w:w w:val="100"/>
          <w:position w:val="0"/>
          <w:u w:val="none"/>
          <w:shd w:val="clear" w:color="auto" w:fill="auto"/>
          <w:lang w:val="ru-RU" w:eastAsia="ru-RU" w:bidi="ru-RU"/>
        </w:rPr>
        <w:t xml:space="preserve">В соответствии с положениями Извещения объект закупки «Светильник </w:t>
      </w:r>
      <w:r>
        <w:rPr>
          <w:color w:val="000000"/>
          <w:spacing w:val="0"/>
          <w:w w:val="100"/>
          <w:position w:val="0"/>
          <w:shd w:val="clear" w:color="auto" w:fill="auto"/>
          <w:lang w:val="ru-RU" w:eastAsia="ru-RU" w:bidi="ru-RU"/>
        </w:rPr>
        <w:t>операционный» (КТРУ: 32.50.50.190-00002968) должен иметь следующие характеристики:</w:t>
      </w:r>
    </w:p>
    <w:tbl>
      <w:tblPr>
        <w:tblOverlap w:val="never"/>
        <w:jc w:val="center"/>
        <w:tblLayout w:type="fixed"/>
      </w:tblPr>
      <w:tblGrid>
        <w:gridCol w:w="5107"/>
        <w:gridCol w:w="2486"/>
        <w:gridCol w:w="2563"/>
      </w:tblGrid>
      <w:tr>
        <w:trPr>
          <w:trHeight w:val="725"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Наименование характеристики</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Значение характеристики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b/>
                <w:bCs/>
                <w:color w:val="000000"/>
                <w:spacing w:val="0"/>
                <w:w w:val="100"/>
                <w:position w:val="0"/>
                <w:sz w:val="24"/>
                <w:szCs w:val="24"/>
                <w:shd w:val="clear" w:color="auto" w:fill="auto"/>
                <w:lang w:val="ru-RU" w:eastAsia="ru-RU" w:bidi="ru-RU"/>
              </w:rPr>
              <w:t>Единица измерения характеристики</w:t>
            </w:r>
          </w:p>
        </w:tc>
      </w:tr>
      <w:tr>
        <w:trPr>
          <w:trHeight w:val="715"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Максимальная освещенность блока освещения 1, клк</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&gt; 120 и &lt; 140</w:t>
            </w:r>
          </w:p>
        </w:tc>
        <w:tc>
          <w:tcPr>
            <w:tcBorders>
              <w:top w:val="single" w:sz="4"/>
              <w:left w:val="single" w:sz="4"/>
              <w:right w:val="single" w:sz="4"/>
            </w:tcBorders>
            <w:shd w:val="clear" w:color="auto" w:fill="auto"/>
            <w:vAlign w:val="top"/>
          </w:tcPr>
          <w:p>
            <w:pPr>
              <w:widowControl w:val="0"/>
              <w:rPr>
                <w:sz w:val="10"/>
                <w:szCs w:val="10"/>
              </w:rPr>
            </w:pPr>
          </w:p>
        </w:tc>
      </w:tr>
      <w:tr>
        <w:trPr>
          <w:trHeight w:val="720"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Максимальная освещенность блока освещения 2, клк</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&gt; 100 и &lt; 160</w:t>
            </w:r>
          </w:p>
        </w:tc>
        <w:tc>
          <w:tcPr>
            <w:tcBorders>
              <w:top w:val="single" w:sz="4"/>
              <w:left w:val="single" w:sz="4"/>
              <w:right w:val="single" w:sz="4"/>
            </w:tcBorders>
            <w:shd w:val="clear" w:color="auto" w:fill="auto"/>
            <w:vAlign w:val="top"/>
          </w:tcPr>
          <w:p>
            <w:pPr>
              <w:widowControl w:val="0"/>
              <w:rPr>
                <w:sz w:val="10"/>
                <w:szCs w:val="10"/>
              </w:rPr>
            </w:pPr>
          </w:p>
        </w:tc>
      </w:tr>
      <w:tr>
        <w:trPr>
          <w:trHeight w:val="715"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Возможность регулировки цветовой температуры</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Нет</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Видеокамера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Нет</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Количество световых головок (блоков)</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Индекс цветопередачи, Ка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 менее 95</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Вариант исполнения</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Потолочный</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Пульт управления</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Нет</w:t>
            </w:r>
          </w:p>
        </w:tc>
        <w:tc>
          <w:tcPr>
            <w:tcBorders>
              <w:top w:val="single" w:sz="4"/>
              <w:left w:val="single" w:sz="4"/>
              <w:right w:val="single" w:sz="4"/>
            </w:tcBorders>
            <w:shd w:val="clear" w:color="auto" w:fill="auto"/>
            <w:vAlign w:val="top"/>
          </w:tcPr>
          <w:p>
            <w:pPr>
              <w:widowControl w:val="0"/>
              <w:rPr>
                <w:sz w:val="10"/>
                <w:szCs w:val="10"/>
              </w:rPr>
            </w:pPr>
          </w:p>
        </w:tc>
      </w:tr>
      <w:tr>
        <w:trPr>
          <w:trHeight w:val="437"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Цветовая температура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&gt; 4000</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Кельвин</w:t>
            </w:r>
          </w:p>
        </w:tc>
      </w:tr>
      <w:tr>
        <w:trPr>
          <w:trHeight w:val="442" w:hRule="exact"/>
        </w:trPr>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Источник света</w:t>
            </w:r>
          </w:p>
        </w:tc>
        <w:tc>
          <w:tcPr>
            <w:tcBorders>
              <w:top w:val="single" w:sz="4"/>
              <w:left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Светодиод</w:t>
            </w:r>
          </w:p>
        </w:tc>
        <w:tc>
          <w:tcPr>
            <w:tcBorders>
              <w:top w:val="single" w:sz="4"/>
              <w:left w:val="single" w:sz="4"/>
              <w:right w:val="single" w:sz="4"/>
            </w:tcBorders>
            <w:shd w:val="clear" w:color="auto" w:fill="auto"/>
            <w:vAlign w:val="top"/>
          </w:tcPr>
          <w:p>
            <w:pPr>
              <w:widowControl w:val="0"/>
              <w:rPr>
                <w:sz w:val="10"/>
                <w:szCs w:val="10"/>
              </w:rPr>
            </w:pPr>
          </w:p>
        </w:tc>
      </w:tr>
      <w:tr>
        <w:trPr>
          <w:trHeight w:val="44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Диаметр светового поля с!10 блока 1</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&gt; 130 и &lt; 370</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Миллиметр</w:t>
            </w:r>
          </w:p>
        </w:tc>
      </w:tr>
      <w:tr>
        <w:trPr>
          <w:trHeight w:val="451"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Диаметр светового поля Л0 блока 2</w:t>
            </w:r>
          </w:p>
        </w:tc>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&gt; 130 и &lt; 370</w:t>
            </w:r>
          </w:p>
        </w:tc>
        <w:tc>
          <w:tcPr>
            <w:tcBorders>
              <w:top w:val="single" w:sz="4"/>
              <w:left w:val="single" w:sz="4"/>
              <w:bottom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Миллиметр</w:t>
            </w:r>
          </w:p>
        </w:tc>
      </w:tr>
    </w:tbl>
    <w:tbl>
      <w:tblPr>
        <w:tblOverlap w:val="never"/>
        <w:jc w:val="center"/>
        <w:tblLayout w:type="fixed"/>
      </w:tblPr>
      <w:tblGrid>
        <w:gridCol w:w="5107"/>
        <w:gridCol w:w="2486"/>
        <w:gridCol w:w="2563"/>
      </w:tblGrid>
      <w:tr>
        <w:trPr>
          <w:trHeight w:val="446"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Наличие аварийного источника питания</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Нет</w:t>
            </w:r>
          </w:p>
        </w:tc>
        <w:tc>
          <w:tcPr>
            <w:tcBorders>
              <w:top w:val="single" w:sz="4"/>
              <w:left w:val="single" w:sz="4"/>
              <w:right w:val="single" w:sz="4"/>
            </w:tcBorders>
            <w:shd w:val="clear" w:color="auto" w:fill="auto"/>
            <w:vAlign w:val="top"/>
          </w:tcPr>
          <w:p>
            <w:pPr>
              <w:widowControl w:val="0"/>
              <w:rPr>
                <w:sz w:val="10"/>
                <w:szCs w:val="10"/>
              </w:rPr>
            </w:pPr>
          </w:p>
        </w:tc>
      </w:tr>
      <w:tr>
        <w:trPr>
          <w:trHeight w:val="451" w:hRule="exact"/>
        </w:trPr>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Функция ЭНДО режима/фоновой подсветки</w:t>
            </w:r>
          </w:p>
        </w:tc>
        <w:tc>
          <w:tcPr>
            <w:tcBorders>
              <w:top w:val="single" w:sz="4"/>
              <w:left w:val="single" w:sz="4"/>
              <w:bottom w:val="single" w:sz="4"/>
            </w:tcBorders>
            <w:shd w:val="clear" w:color="auto" w:fill="auto"/>
            <w:vAlign w:val="center"/>
          </w:tcPr>
          <w:p>
            <w:pPr>
              <w:pStyle w:val="Style21"/>
              <w:keepNext w:val="0"/>
              <w:keepLines w:val="0"/>
              <w:widowControl w:val="0"/>
              <w:shd w:val="clear" w:color="auto" w:fill="auto"/>
              <w:bidi w:val="0"/>
              <w:spacing w:before="0" w:after="0" w:line="240" w:lineRule="auto"/>
              <w:ind w:left="0" w:right="0" w:firstLine="0"/>
              <w:jc w:val="both"/>
              <w:rPr>
                <w:sz w:val="24"/>
                <w:szCs w:val="24"/>
              </w:rPr>
            </w:pPr>
            <w:r>
              <w:rPr>
                <w:color w:val="000000"/>
                <w:spacing w:val="0"/>
                <w:w w:val="100"/>
                <w:position w:val="0"/>
                <w:sz w:val="24"/>
                <w:szCs w:val="24"/>
                <w:shd w:val="clear" w:color="auto" w:fill="auto"/>
                <w:lang w:val="ru-RU" w:eastAsia="ru-RU" w:bidi="ru-RU"/>
              </w:rPr>
              <w:t>Нет</w:t>
            </w:r>
          </w:p>
        </w:tc>
        <w:tc>
          <w:tcPr>
            <w:tcBorders>
              <w:top w:val="single" w:sz="4"/>
              <w:left w:val="single" w:sz="4"/>
              <w:bottom w:val="single" w:sz="4"/>
              <w:right w:val="single" w:sz="4"/>
            </w:tcBorders>
            <w:shd w:val="clear" w:color="auto" w:fill="auto"/>
            <w:vAlign w:val="top"/>
          </w:tcPr>
          <w:p>
            <w:pPr>
              <w:widowControl w:val="0"/>
              <w:rPr>
                <w:sz w:val="10"/>
                <w:szCs w:val="10"/>
              </w:rPr>
            </w:pPr>
          </w:p>
        </w:tc>
      </w:tr>
    </w:tbl>
    <w:p>
      <w:pPr>
        <w:widowControl w:val="0"/>
        <w:spacing w:after="259" w:line="1" w:lineRule="exact"/>
      </w:pP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В силу п. 2 раздела 1 электронного документа «Требования к содержанию, составу заявки на участие в открытом аукционе в электронной форме и инструкция по ее заполнению» предложение участника закупки в отношении объекта закупки должно содержать:</w:t>
      </w:r>
    </w:p>
    <w:p>
      <w:pPr>
        <w:pStyle w:val="Style10"/>
        <w:keepNext w:val="0"/>
        <w:keepLines w:val="0"/>
        <w:widowControl w:val="0"/>
        <w:numPr>
          <w:ilvl w:val="0"/>
          <w:numId w:val="1"/>
        </w:numPr>
        <w:shd w:val="clear" w:color="auto" w:fill="auto"/>
        <w:tabs>
          <w:tab w:pos="1080" w:val="left"/>
        </w:tabs>
        <w:bidi w:val="0"/>
        <w:spacing w:before="0" w:after="0" w:line="240" w:lineRule="auto"/>
        <w:ind w:left="0" w:right="0" w:firstLine="800"/>
        <w:jc w:val="both"/>
      </w:pPr>
      <w:r>
        <w:rPr>
          <w:color w:val="000000"/>
          <w:spacing w:val="0"/>
          <w:w w:val="100"/>
          <w:position w:val="0"/>
          <w:shd w:val="clear" w:color="auto" w:fill="auto"/>
          <w:lang w:val="ru-RU" w:eastAsia="ru-RU" w:bidi="ru-RU"/>
        </w:rPr>
        <w:t>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 44-ФЗ, товарный знак (при наличии у товара товарного знака);</w:t>
      </w:r>
    </w:p>
    <w:p>
      <w:pPr>
        <w:pStyle w:val="Style10"/>
        <w:keepNext w:val="0"/>
        <w:keepLines w:val="0"/>
        <w:widowControl w:val="0"/>
        <w:numPr>
          <w:ilvl w:val="0"/>
          <w:numId w:val="1"/>
        </w:numPr>
        <w:shd w:val="clear" w:color="auto" w:fill="auto"/>
        <w:tabs>
          <w:tab w:pos="1080"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наименование страны происхождения товара в соответствии с общероссийским классификатором, используемым для идентификации стран мира;</w:t>
      </w:r>
    </w:p>
    <w:p>
      <w:pPr>
        <w:pStyle w:val="Style10"/>
        <w:keepNext w:val="0"/>
        <w:keepLines w:val="0"/>
        <w:widowControl w:val="0"/>
        <w:numPr>
          <w:ilvl w:val="0"/>
          <w:numId w:val="1"/>
        </w:numPr>
        <w:shd w:val="clear" w:color="auto" w:fill="auto"/>
        <w:tabs>
          <w:tab w:pos="1080"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копии регистрационных удостоверений, выданных Федеральной службой по надзору в сфере здравоохранения, на предлагаемые к поставке медицинские изделия, предусмотренные в описании объекта закупки (ст. 38 Федерального закона от 21.11.2011 № 323-ФЗ «Об основах охраны здоровья граждан в Российской Федерации»; постановление Правительства РФ от 27.12.2012 № 1416 "Об утверждении Правил государственной регистрации медицинских изделий");</w:t>
      </w:r>
    </w:p>
    <w:p>
      <w:pPr>
        <w:pStyle w:val="Style10"/>
        <w:keepNext w:val="0"/>
        <w:keepLines w:val="0"/>
        <w:widowControl w:val="0"/>
        <w:numPr>
          <w:ilvl w:val="0"/>
          <w:numId w:val="1"/>
        </w:numPr>
        <w:shd w:val="clear" w:color="auto" w:fill="auto"/>
        <w:tabs>
          <w:tab w:pos="1080" w:val="left"/>
        </w:tabs>
        <w:bidi w:val="0"/>
        <w:spacing w:before="0" w:after="0" w:line="240" w:lineRule="auto"/>
        <w:ind w:left="0" w:right="0" w:firstLine="800"/>
        <w:jc w:val="both"/>
      </w:pPr>
      <w:r>
        <w:rPr>
          <w:color w:val="000000"/>
          <w:spacing w:val="0"/>
          <w:w w:val="100"/>
          <w:position w:val="0"/>
          <w:shd w:val="clear" w:color="auto" w:fill="auto"/>
          <w:lang w:val="ru-RU" w:eastAsia="ru-RU" w:bidi="ru-RU"/>
        </w:rPr>
        <w:t>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pPr>
        <w:pStyle w:val="Style10"/>
        <w:keepNext w:val="0"/>
        <w:keepLines w:val="0"/>
        <w:widowControl w:val="0"/>
        <w:shd w:val="clear" w:color="auto" w:fill="auto"/>
        <w:bidi w:val="0"/>
        <w:spacing w:before="0" w:after="0" w:line="240" w:lineRule="auto"/>
        <w:ind w:left="0" w:right="0" w:firstLine="800"/>
        <w:jc w:val="both"/>
      </w:pPr>
      <w:r>
        <w:rPr>
          <w:color w:val="000000"/>
          <w:spacing w:val="0"/>
          <w:w w:val="100"/>
          <w:position w:val="0"/>
          <w:shd w:val="clear" w:color="auto" w:fill="auto"/>
          <w:lang w:val="ru-RU" w:eastAsia="ru-RU" w:bidi="ru-RU"/>
        </w:rPr>
        <w:t>Кроме того, согласно п. 3 раздела 1 электронного документа «Требования к содержанию, составу заявки на участие в открытом аукционе в электронной форме и инструкция по ее заполнению» заявка также должна содержать информацию и документы, предусмотренные нормативными правовыми актами, принятыми в соответствии с частями 3 и 4 статьи 14 Закона № 44-ФЗ (в случае, если в извещении об осуществлении закупки установлены запреты, ограничения, условия допуска):</w:t>
      </w:r>
    </w:p>
    <w:p>
      <w:pPr>
        <w:pStyle w:val="Style10"/>
        <w:keepNext w:val="0"/>
        <w:keepLines w:val="0"/>
        <w:widowControl w:val="0"/>
        <w:shd w:val="clear" w:color="auto" w:fill="auto"/>
        <w:bidi w:val="0"/>
        <w:spacing w:before="0" w:after="280" w:line="240" w:lineRule="auto"/>
        <w:ind w:left="0" w:right="0" w:firstLine="800"/>
        <w:jc w:val="both"/>
      </w:pPr>
      <w:r>
        <w:rPr>
          <w:color w:val="000000"/>
          <w:spacing w:val="0"/>
          <w:w w:val="100"/>
          <w:position w:val="0"/>
          <w:shd w:val="clear" w:color="auto" w:fill="auto"/>
          <w:lang w:val="ru-RU" w:eastAsia="ru-RU" w:bidi="ru-RU"/>
        </w:rPr>
        <w:t xml:space="preserve">а) в рамках исполнения постановления Правительства Российской Федерации от 10.07.2019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(далее - постановление № 878) для подтверждения соответствия радиоэлектронной продукции требованиям, предусмотренным пунктом 3(2) постановления № 878, участник закупки указывает (декларирует) в составе заявки на участие в закупке номер реестровой записи из реестра российской радиоэлектронной продукции или евразийского реестра промышленных товаров государств - членов Евразийского экономического союза, правила формирования и ведения которого устанавливаются правом Евразийского экономического </w:t>
      </w:r>
      <w:r>
        <w:rPr>
          <w:color w:val="000000"/>
          <w:spacing w:val="0"/>
          <w:w w:val="100"/>
          <w:position w:val="0"/>
          <w:shd w:val="clear" w:color="auto" w:fill="auto"/>
          <w:lang w:val="ru-RU" w:eastAsia="ru-RU" w:bidi="ru-RU"/>
        </w:rPr>
        <w:t>союза, а для целей подтверждения первого уровня радиоэлектронной продукции - также сведения о первом уровне радиоэлектронной продукции.</w:t>
      </w:r>
    </w:p>
    <w:p>
      <w:pPr>
        <w:pStyle w:val="Style10"/>
        <w:keepNext w:val="0"/>
        <w:keepLines w:val="0"/>
        <w:widowControl w:val="0"/>
        <w:shd w:val="clear" w:color="auto" w:fill="auto"/>
        <w:bidi w:val="0"/>
        <w:spacing w:before="0" w:after="280" w:line="240" w:lineRule="auto"/>
        <w:ind w:left="0" w:right="0" w:firstLine="820"/>
        <w:jc w:val="both"/>
      </w:pPr>
      <w:r>
        <w:rPr>
          <w:color w:val="000000"/>
          <w:spacing w:val="0"/>
          <w:w w:val="100"/>
          <w:position w:val="0"/>
          <w:shd w:val="clear" w:color="auto" w:fill="auto"/>
          <w:lang w:val="ru-RU" w:eastAsia="ru-RU" w:bidi="ru-RU"/>
        </w:rPr>
        <w:t>В заявке победителя закупки ООО «Люммед» представлен товар «Светильник хирургический потолочный с аварийным питанием регулируемый двухблочный «ЭМАЛЕД 300/300» с реестровой записью в Едином реестре российской радиоэлектронной продукции № 10221897 и регистрационным номером медицинского изделия № ФСР 2010/07446 от 28.09.2020 со следующими характеристиками:</w:t>
      </w:r>
    </w:p>
    <w:tbl>
      <w:tblPr>
        <w:tblOverlap w:val="never"/>
        <w:jc w:val="center"/>
        <w:tblLayout w:type="fixed"/>
      </w:tblPr>
      <w:tblGrid>
        <w:gridCol w:w="3691"/>
        <w:gridCol w:w="3682"/>
        <w:gridCol w:w="2702"/>
      </w:tblGrid>
      <w:tr>
        <w:trPr>
          <w:trHeight w:val="600" w:hRule="exact"/>
        </w:trPr>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Наименование характеристики</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Единица измерения характеристики</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Предложение участника</w:t>
            </w:r>
          </w:p>
        </w:tc>
      </w:tr>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Максимальная освещенность блока освещения 1, клк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120</w:t>
            </w:r>
          </w:p>
        </w:tc>
      </w:tr>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Максимальная освещенность блока освещения 2, клк</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120</w:t>
            </w:r>
          </w:p>
        </w:tc>
      </w:tr>
      <w:tr>
        <w:trPr>
          <w:trHeight w:val="557"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Возможность регулировки цветовой температуры</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Нет</w:t>
            </w:r>
          </w:p>
        </w:tc>
      </w:tr>
      <w:tr>
        <w:trPr>
          <w:trHeight w:val="307"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Видеокамера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Нет</w:t>
            </w:r>
          </w:p>
        </w:tc>
      </w:tr>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Количество световых головок (блоков)</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2</w:t>
            </w:r>
          </w:p>
        </w:tc>
      </w:tr>
      <w:tr>
        <w:trPr>
          <w:trHeight w:val="298"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Индекс цветопередачи, Ка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97</w:t>
            </w:r>
          </w:p>
        </w:tc>
      </w:tr>
      <w:tr>
        <w:trPr>
          <w:trHeight w:val="30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Вариант исполнения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Потолочный</w:t>
            </w:r>
          </w:p>
        </w:tc>
      </w:tr>
      <w:tr>
        <w:trPr>
          <w:trHeight w:val="30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Пульт управления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Нет</w:t>
            </w:r>
          </w:p>
        </w:tc>
      </w:tr>
      <w:tr>
        <w:trPr>
          <w:trHeight w:val="30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Цветовая температура</w:t>
            </w:r>
          </w:p>
        </w:tc>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Кельвин</w:t>
            </w: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4500</w:t>
            </w:r>
          </w:p>
        </w:tc>
      </w:tr>
      <w:tr>
        <w:trPr>
          <w:trHeight w:val="298"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Источник света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Светодиод</w:t>
            </w:r>
          </w:p>
        </w:tc>
      </w:tr>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Диаметр светового поля д'10 блока 1</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Миллиметр</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160</w:t>
            </w:r>
          </w:p>
        </w:tc>
      </w:tr>
      <w:tr>
        <w:trPr>
          <w:trHeight w:val="562"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Диаметр светового поля д'10 блока 2</w:t>
            </w:r>
          </w:p>
        </w:tc>
        <w:tc>
          <w:tcPr>
            <w:tcBorders>
              <w:top w:val="single" w:sz="4"/>
              <w:lef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Миллиметр</w:t>
            </w: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160</w:t>
            </w:r>
          </w:p>
        </w:tc>
      </w:tr>
      <w:tr>
        <w:trPr>
          <w:trHeight w:val="566" w:hRule="exact"/>
        </w:trPr>
        <w:tc>
          <w:tcPr>
            <w:tcBorders>
              <w:top w:val="single" w:sz="4"/>
              <w:left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Наличие аварийного источника питания</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Нет</w:t>
            </w:r>
          </w:p>
        </w:tc>
      </w:tr>
      <w:tr>
        <w:trPr>
          <w:trHeight w:val="566" w:hRule="exact"/>
        </w:trPr>
        <w:tc>
          <w:tcPr>
            <w:tcBorders>
              <w:top w:val="single" w:sz="4"/>
              <w:left w:val="single" w:sz="4"/>
              <w:bottom w:val="single" w:sz="4"/>
            </w:tcBorders>
            <w:shd w:val="clear" w:color="auto" w:fill="auto"/>
            <w:vAlign w:val="bottom"/>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Функция ЭНДО режима/фоновой подсветки</w:t>
            </w:r>
          </w:p>
        </w:tc>
        <w:tc>
          <w:tcPr>
            <w:tcBorders>
              <w:top w:val="single" w:sz="4"/>
              <w:left w:val="single" w:sz="4"/>
              <w:bottom w:val="single" w:sz="4"/>
            </w:tcBorders>
            <w:shd w:val="clear" w:color="auto" w:fill="auto"/>
            <w:vAlign w:val="top"/>
          </w:tcPr>
          <w:p>
            <w:pPr>
              <w:widowControl w:val="0"/>
              <w:rPr>
                <w:sz w:val="10"/>
                <w:szCs w:val="10"/>
              </w:rPr>
            </w:pPr>
          </w:p>
        </w:tc>
        <w:tc>
          <w:tcPr>
            <w:tcBorders>
              <w:top w:val="single" w:sz="4"/>
              <w:left w:val="single" w:sz="4"/>
              <w:bottom w:val="single" w:sz="4"/>
              <w:right w:val="single" w:sz="4"/>
            </w:tcBorders>
            <w:shd w:val="clear" w:color="auto" w:fill="auto"/>
            <w:vAlign w:val="top"/>
          </w:tcPr>
          <w:p>
            <w:pPr>
              <w:pStyle w:val="Style21"/>
              <w:keepNext w:val="0"/>
              <w:keepLines w:val="0"/>
              <w:widowControl w:val="0"/>
              <w:shd w:val="clear" w:color="auto" w:fill="auto"/>
              <w:bidi w:val="0"/>
              <w:spacing w:before="0" w:after="0" w:line="240" w:lineRule="auto"/>
              <w:ind w:left="0" w:right="0" w:firstLine="0"/>
              <w:jc w:val="center"/>
              <w:rPr>
                <w:sz w:val="24"/>
                <w:szCs w:val="24"/>
              </w:rPr>
            </w:pPr>
            <w:r>
              <w:rPr>
                <w:color w:val="000000"/>
                <w:spacing w:val="0"/>
                <w:w w:val="100"/>
                <w:position w:val="0"/>
                <w:sz w:val="24"/>
                <w:szCs w:val="24"/>
                <w:shd w:val="clear" w:color="auto" w:fill="auto"/>
                <w:lang w:val="ru-RU" w:eastAsia="ru-RU" w:bidi="ru-RU"/>
              </w:rPr>
              <w:t>Нет</w:t>
            </w:r>
          </w:p>
        </w:tc>
      </w:tr>
    </w:tbl>
    <w:p>
      <w:pPr>
        <w:pStyle w:val="Style10"/>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Таким образом, при подаче заявки, ООО «Люммед» указал на отсутствие аварийного источника питания в товаре «Светильник хирургический потолочный с аварийным питанием регулируемый двухблочный «ЭМАЛЕД 300/300», предложенном им в составе заявки.</w:t>
      </w:r>
    </w:p>
    <w:p>
      <w:pPr>
        <w:pStyle w:val="Style10"/>
        <w:keepNext w:val="0"/>
        <w:keepLines w:val="0"/>
        <w:widowControl w:val="0"/>
        <w:shd w:val="clear" w:color="auto" w:fill="auto"/>
        <w:bidi w:val="0"/>
        <w:spacing w:before="0" w:after="0" w:line="240" w:lineRule="auto"/>
        <w:ind w:left="0" w:right="0" w:firstLine="820"/>
        <w:jc w:val="both"/>
      </w:pPr>
      <w:r>
        <w:rPr>
          <w:color w:val="000000"/>
          <w:spacing w:val="0"/>
          <w:w w:val="100"/>
          <w:position w:val="0"/>
          <w:shd w:val="clear" w:color="auto" w:fill="auto"/>
          <w:lang w:val="ru-RU" w:eastAsia="ru-RU" w:bidi="ru-RU"/>
        </w:rPr>
        <w:t>Вместе с тем, в п. 1.4.4 Руководства по эксплуатации 342.00.00.002 РЭ «Светильник хирургический потолочный с аварийным питанием регулируемый двухблочный «ЭМАЛЕД 300/300», размещенном на официальном сайте Росздравнадзора, указано, что «светильник «ЭМАЛЕД» имеет аварийное питание от аккумулятора. В защитном кожухе размещена аккумуляторная батарея и электронный блок для автоматического включения аварийного питания в случае прерывания электропитания, а также зарядное устройство, позволяющее заряжать аккумуляторную батарею при работе светильника от питающей сети».</w:t>
      </w:r>
    </w:p>
    <w:p>
      <w:pPr>
        <w:pStyle w:val="Style10"/>
        <w:keepNext w:val="0"/>
        <w:keepLines w:val="0"/>
        <w:widowControl w:val="0"/>
        <w:shd w:val="clear" w:color="auto" w:fill="auto"/>
        <w:bidi w:val="0"/>
        <w:spacing w:before="0" w:after="260" w:line="240" w:lineRule="auto"/>
        <w:ind w:left="0" w:right="0" w:firstLine="820"/>
        <w:jc w:val="both"/>
      </w:pPr>
      <w:r>
        <w:rPr>
          <w:color w:val="000000"/>
          <w:spacing w:val="0"/>
          <w:w w:val="100"/>
          <w:position w:val="0"/>
          <w:shd w:val="clear" w:color="auto" w:fill="auto"/>
          <w:lang w:val="ru-RU" w:eastAsia="ru-RU" w:bidi="ru-RU"/>
        </w:rPr>
        <w:t xml:space="preserve">Кроме того, в п. 23 Приложения к регистрационному удостоверению на медицинское изделие № ФСР 2010/07446 от 28.09.2020, также размещенном на официальном сайте Росздравнадзора, указана следующая комплектность медицинского изделия Светильник </w:t>
      </w:r>
      <w:r>
        <w:rPr>
          <w:color w:val="000000"/>
          <w:spacing w:val="0"/>
          <w:w w:val="100"/>
          <w:position w:val="0"/>
          <w:shd w:val="clear" w:color="auto" w:fill="auto"/>
          <w:lang w:val="ru-RU" w:eastAsia="ru-RU" w:bidi="ru-RU"/>
        </w:rPr>
        <w:t>хирургический потолочный с аварийным питанием регулируемый двухблочный «ЭМАЛЕД 300/300»:</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Блок освещения 400 - 2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Ось центральная - 1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Консоль пружинная - 2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Удлинитель - 1 шт. ;</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Кожух - 1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Аккумуляторная батарея - 1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Комплект монтажных частей - 1 шт.;</w:t>
      </w:r>
    </w:p>
    <w:p>
      <w:pPr>
        <w:pStyle w:val="Style10"/>
        <w:keepNext w:val="0"/>
        <w:keepLines w:val="0"/>
        <w:widowControl w:val="0"/>
        <w:numPr>
          <w:ilvl w:val="0"/>
          <w:numId w:val="3"/>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Ручка блока освещения съемная стерилизуемая - 4 шт.;</w:t>
      </w:r>
    </w:p>
    <w:p>
      <w:pPr>
        <w:pStyle w:val="Style10"/>
        <w:keepNext w:val="0"/>
        <w:keepLines w:val="0"/>
        <w:widowControl w:val="0"/>
        <w:numPr>
          <w:ilvl w:val="0"/>
          <w:numId w:val="3"/>
        </w:numPr>
        <w:shd w:val="clear" w:color="auto" w:fill="auto"/>
        <w:tabs>
          <w:tab w:pos="1039"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Руководство по эксплуатации на светильники - 1 шт.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адрес Управления также были получены письменные пояснения победителя закупки ООО «Люммед», в которых пояснил, что «правовых оснований для признания заявки не соответствующей требования извещения о проведении закупки нет».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Для дополнительного уточнения, Управлением Волгоградского УФАС в адрес производителя товара Светильник хирургический потолочный с аварийным питанием регулируемый двухблочный «ЭМАЛЕД 300/300» ЗАО «Завод ЭМА» было направлено обращение № РЛ/288/25 от 22.01.2025, в котором перед производителем были поставлены следующие вопросы:</w:t>
      </w:r>
    </w:p>
    <w:p>
      <w:pPr>
        <w:pStyle w:val="Style10"/>
        <w:keepNext w:val="0"/>
        <w:keepLines w:val="0"/>
        <w:widowControl w:val="0"/>
        <w:numPr>
          <w:ilvl w:val="0"/>
          <w:numId w:val="5"/>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предусмотрено ли в указанном светильнике наличие аварийного источника питания.</w:t>
      </w:r>
    </w:p>
    <w:p>
      <w:pPr>
        <w:pStyle w:val="Style10"/>
        <w:keepNext w:val="0"/>
        <w:keepLines w:val="0"/>
        <w:widowControl w:val="0"/>
        <w:numPr>
          <w:ilvl w:val="0"/>
          <w:numId w:val="5"/>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соответствуют ли характеристики товара «Светильник хирургический потолочный с аварийным питанием регулируемый двухблочный «ЭМАЛЕД 300/300» характеристикам кода позиции КТРУ 32.50.50.190-00002968.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ответ на запрос информации в рамках рассмотрения дела 034/06/105/36/2025 ЗАО «Завод ЭМА» пояснил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«Светильник хирургический потолочный «Эмалед 300/300» имеет возможность подключения к аварийному питанию от аккумулятора.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Светильник хирургический потолочный «Эмалед 300/300», планируемый к поставке в рамках государственного контракта (номер извещения 0129200005324004270), будет передан в отсутствие характеристики «наличие аварийного источника питания».</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Характеристики товара «Светильник хирургический потолочный с аварийным питанием регулируемый двухблочный «Эмалед 300/300» соответствуют характеристикам кода позиции КТРУ 32.50.50.190-00002968».</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вышеизложенного, Комиссия установила следующее.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п. 1 ст. 478 Гражданского Кодекса Российской Федерации продавец обязан передать покупателю товар, соответствующий условиям договора купли-продажи о комплектности.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Соответственно, комплектность товара - это условие о том, какие части, детали и компоненты (комплектующие изделия) входят в состав товара.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Комплектующие изделия по смыслу ст. 135 Гражданского кодекса Российской Федерации являются принадлежностью основного товара (главной вещи), предназначены для его обслуживания и связаны с ним общим назначением.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При этом принадлежность следует судьбе главной вещи (т.е. все комплектующие детали должны быть переданы вместе с товаром).</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Производитель медицинского изделия «Светильник хирургический потолочный с аварийным питанием регулируемый двухблочный «Эмалед 300/300» в своем ответе от 23.01.2025 не указал на иную комплектность, чем ту, которая указана в п. 23 Приложения к регистрационному удостоверению на медицинское изделие № ФСР 2010/07446 от 28.09.2020.</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Кроме того, согласно п. 1 ст. 478 Гражданского Кодекса Российской Федерации В случае, когда договором купли-продажи не определена комплектность товара, продавец обязан передать покупателю товар, комплектность которого определяется обычаями делового оборота или иными обычно предъявляемыми требованиями.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Ввиду положений ч. 4 ст. 38 Федерального закона от 21.11.2011 № 323-ФЗ «Об основах охраны здоровья граждан в Российской Федерации» на территории РФ разрешается обращение медицинских изделий, прошедших государственную регистрацию в порядке, установленном Правительством РФ,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п. 8 Правил государственной регистрации медицинских изделий, утв. Постановлением Правительства РФ от 27.12.2012 № 1416 (далее - Правила регистрации медицинских изделий), для государственной регистрации медицинского изделия (за исключением медицинских изделий, включенных в перечень изделий с низкой степенью потенциального риска) разработчик, производитель (изготовитель) медицинского изделия или уполномоченный представитель производителя (изготовителя) представляет либо направляет в регистрирующий орган заявление о государственной регистрации медицинского изделия, а также документы, указанные в п. 10 Правил регистрации медицинских изделий.</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п. 6 Правил регистрации медицинских изделий документом, подтверждающим факт государственной регистрации медицинского изделия, является регистрационное удостоверение на медицинское изделие по форме, утв. Приказом Росздравнадзора от 16.01.2013 № 40-Пр/13.</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регистрационное удостоверение на медицинское изделие включает в себя исчерпывающую и точную комплектность товара для его правильного функционирования и целевого использования, изменение производителем комплектности медицинского без соответствующего внесения сведений о таком изменении в регистрационное удостоверение на медицинское изделие и его эксплуатационную документацию исключено.</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также учитывает, что, исходя из положений п. 7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Кроме того, в соответствии с пп.пп. «г» и «е» п. 6.1 электронного документа «Проект контракта» приемка поставленного Оборудования осуществляется в ходе передачи Оборудования Заказчику в Месте доставки и включает в себя проверку наличия </w:t>
      </w:r>
      <w:r>
        <w:rPr>
          <w:color w:val="000000"/>
          <w:spacing w:val="0"/>
          <w:w w:val="100"/>
          <w:position w:val="0"/>
          <w:shd w:val="clear" w:color="auto" w:fill="auto"/>
          <w:lang w:val="ru-RU" w:eastAsia="ru-RU" w:bidi="ru-RU"/>
        </w:rPr>
        <w:t>необходимых документов (копий документов) на Оборудование: регистрационных удостоверений, документа, подтверждающего соответствие Оборудования, выданного уполномоченными органами (организациями) и проверку комплектности и целостности поставленного Оборудования.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Таким образом, при указанных обстоятельствах, у Заказчика нет возможности принятия подобного товара, ввиду его несоответствия приложенному регистрационному удостоверению на медицинское изделие.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Также Комиссия учитывает, что поставщик по данной закупке должен поставить медицинское изделие, соответствующее выданному на него регистрационному удостоверению и соответствующее техническим характеристикам, установленным в Извещении, в том числе, со значением характеристики «Наличие аварийного источника питания - нет».</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Предложенный в составе заявки товар «Светильник хирургический потолочный с аварийным питанием регулируемый двухблочный «Эмалед 300/300», исходя из информации, размещенной на сайте Росздравнадзора, имеет аварийный источник питания.</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подпунктом «а» пункта 1 части 5 статьи 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42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соответствии с пунктом 8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p>
      <w:pPr>
        <w:pStyle w:val="Style10"/>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по осуществлению закупок при рассмотрении второй части заявки победителя закупки ООО «Люммед», оценивая достоверность и соответствие положениям извещения предоставленных сведений, руководствуясь информацией и документами, направленными самим участником закупки и оператором электронной площадки в соответствии с пунктом 4 части 4 статьи 42 Закона о контрактной системе, в том числе регистрационным удостоверением на медицинское изделие, в котором прямо указано на наличие аварийного источника питания, в нарушение п. 8 ч. 12 ст. 48 Закона о контрактной системе не отклонила заявку ООО «Люммед».</w:t>
      </w:r>
    </w:p>
    <w:p>
      <w:pPr>
        <w:pStyle w:val="Style10"/>
        <w:keepNext w:val="0"/>
        <w:keepLines w:val="0"/>
        <w:widowControl w:val="0"/>
        <w:shd w:val="clear" w:color="auto" w:fill="auto"/>
        <w:bidi w:val="0"/>
        <w:spacing w:before="0" w:after="260" w:line="240" w:lineRule="auto"/>
        <w:ind w:left="0" w:right="0" w:firstLine="740"/>
        <w:jc w:val="both"/>
      </w:pPr>
      <w:r>
        <w:rPr>
          <w:color w:val="000000"/>
          <w:spacing w:val="0"/>
          <w:w w:val="100"/>
          <w:position w:val="0"/>
          <w:shd w:val="clear" w:color="auto" w:fill="auto"/>
          <w:lang w:val="ru-RU" w:eastAsia="ru-RU" w:bidi="ru-RU"/>
        </w:rPr>
        <w:t>Ввиду вышеуказанного, а также руководствуясь главой 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РЕШИЛА:</w:t>
      </w:r>
    </w:p>
    <w:p>
      <w:pPr>
        <w:pStyle w:val="Style10"/>
        <w:keepNext w:val="0"/>
        <w:keepLines w:val="0"/>
        <w:widowControl w:val="0"/>
        <w:numPr>
          <w:ilvl w:val="0"/>
          <w:numId w:val="7"/>
        </w:numPr>
        <w:shd w:val="clear" w:color="auto" w:fill="auto"/>
        <w:tabs>
          <w:tab w:pos="103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Признать жалобу ИП Гумерова Рената Флуновича вх. 392/25 от 17.01.2025 на действия комиссии по осуществлению закупки при проведении электронного аукциона «Поставка светильника операционного, ввод в эксплуатацию медицинских изделий, </w:t>
      </w:r>
      <w:r>
        <w:rPr>
          <w:color w:val="000000"/>
          <w:spacing w:val="0"/>
          <w:w w:val="100"/>
          <w:position w:val="0"/>
          <w:shd w:val="clear" w:color="auto" w:fill="auto"/>
          <w:lang w:val="ru-RU" w:eastAsia="ru-RU" w:bidi="ru-RU"/>
        </w:rPr>
        <w:t>обучение правилам эксплуатации специалистов, эксплуатирующих медицинские изделия (АЭ73/ОМС/П/СМП/2025)» (номер извещения 0129200005324004270) необоснованной.</w:t>
      </w:r>
    </w:p>
    <w:p>
      <w:pPr>
        <w:pStyle w:val="Style10"/>
        <w:keepNext w:val="0"/>
        <w:keepLines w:val="0"/>
        <w:widowControl w:val="0"/>
        <w:numPr>
          <w:ilvl w:val="0"/>
          <w:numId w:val="7"/>
        </w:numPr>
        <w:shd w:val="clear" w:color="auto" w:fill="auto"/>
        <w:tabs>
          <w:tab w:pos="106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Комиссию по осуществлению закупок в составе: Колесникова О.В., Бирюкова А.С. - нарушившей п. 8 ч. 12 ст. 48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0"/>
        <w:keepNext w:val="0"/>
        <w:keepLines w:val="0"/>
        <w:widowControl w:val="0"/>
        <w:numPr>
          <w:ilvl w:val="0"/>
          <w:numId w:val="7"/>
        </w:numPr>
        <w:shd w:val="clear" w:color="auto" w:fill="auto"/>
        <w:tabs>
          <w:tab w:pos="1069"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Уполномоченному органу, Комиссии по осуществлению закупок, Оператору электронной площадки обязательное для исполнения предписание об устранении выявленного нарушения законодательства о контрактной системе.</w:t>
      </w:r>
    </w:p>
    <w:p>
      <w:pPr>
        <w:pStyle w:val="Style10"/>
        <w:keepNext w:val="0"/>
        <w:keepLines w:val="0"/>
        <w:widowControl w:val="0"/>
        <w:numPr>
          <w:ilvl w:val="0"/>
          <w:numId w:val="7"/>
        </w:numPr>
        <w:shd w:val="clear" w:color="auto" w:fill="auto"/>
        <w:tabs>
          <w:tab w:pos="1074" w:val="left"/>
        </w:tabs>
        <w:bidi w:val="0"/>
        <w:spacing w:before="0" w:after="820" w:line="240" w:lineRule="auto"/>
        <w:ind w:left="0" w:right="0" w:firstLine="740"/>
        <w:jc w:val="both"/>
      </w:pPr>
      <w:r>
        <w:rPr>
          <w:color w:val="000000"/>
          <w:spacing w:val="0"/>
          <w:w w:val="100"/>
          <w:position w:val="0"/>
          <w:shd w:val="clear" w:color="auto" w:fill="auto"/>
          <w:lang w:val="ru-RU" w:eastAsia="ru-RU" w:bidi="ru-RU"/>
        </w:rPr>
        <w:t>Передать материалы дела уполномоченному должностному лицу для рассмотрения вопроса о возбуждении дела об административном правонарушении в соответствии с Кодексом Российской Федерации об административных правонарушениях в отношении виновного должностного лица Заказчика.</w:t>
      </w:r>
    </w:p>
    <w:p>
      <w:pPr>
        <w:pStyle w:val="Style10"/>
        <w:keepNext w:val="0"/>
        <w:keepLines w:val="0"/>
        <w:widowControl w:val="0"/>
        <w:shd w:val="clear" w:color="auto" w:fill="auto"/>
        <w:bidi w:val="0"/>
        <w:spacing w:before="0" w:after="7960" w:line="240" w:lineRule="auto"/>
        <w:ind w:left="0" w:right="0" w:firstLine="740"/>
        <w:jc w:val="both"/>
      </w:pPr>
      <w:r>
        <w:rPr>
          <w:color w:val="000000"/>
          <w:spacing w:val="0"/>
          <w:w w:val="100"/>
          <w:position w:val="0"/>
          <w:shd w:val="clear" w:color="auto" w:fill="auto"/>
          <w:lang w:val="ru-RU" w:eastAsia="ru-RU" w:bidi="ru-RU"/>
        </w:rPr>
        <w:t>Решение Комиссии может быть обжаловано в Арбитражный суд Волгоградской области в течение трех месяцев со дня его принятия.</w:t>
      </w:r>
    </w:p>
    <w:p>
      <w:pPr>
        <w:pStyle w:val="Style2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Исп.Джафаров Р.Ш. тел.(8442)24-22-64</w:t>
      </w:r>
    </w:p>
    <w:sectPr>
      <w:headerReference w:type="default" r:id="rId10"/>
      <w:footerReference w:type="default" r:id="rId11"/>
      <w:footnotePr>
        <w:pos w:val="pageBottom"/>
        <w:numFmt w:val="decimal"/>
        <w:numRestart w:val="continuous"/>
      </w:footnotePr>
      <w:pgSz w:w="11900" w:h="16840"/>
      <w:pgMar w:top="1665" w:right="514" w:bottom="1303" w:left="1047"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572770" cy="100330"/>
              <wp:wrapNone/>
              <wp:docPr id="11" name="Shape 11"/>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2025-474</w:t>
                          </w:r>
                        </w:p>
                      </w:txbxContent>
                    </wps:txbx>
                    <wps:bodyPr wrap="none" lIns="0" tIns="0" rIns="0" bIns="0">
                      <a:spAutoFit/>
                    </wps:bodyPr>
                  </wps:wsp>
                </a:graphicData>
              </a:graphic>
            </wp:anchor>
          </w:drawing>
        </mc:Choice>
        <mc:Fallback>
          <w:pict>
            <v:shape id="_x0000_s1037" type="#_x0000_t202" style="position:absolute;margin-left:57.pt;margin-top:776.20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2025-474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715010</wp:posOffset>
              </wp:positionH>
              <wp:positionV relativeFrom="page">
                <wp:posOffset>10018395</wp:posOffset>
              </wp:positionV>
              <wp:extent cx="572770" cy="100330"/>
              <wp:wrapNone/>
              <wp:docPr id="15" name="Shape 15"/>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2025-474</w:t>
                          </w:r>
                        </w:p>
                      </w:txbxContent>
                    </wps:txbx>
                    <wps:bodyPr wrap="none" lIns="0" tIns="0" rIns="0" bIns="0">
                      <a:spAutoFit/>
                    </wps:bodyPr>
                  </wps:wsp>
                </a:graphicData>
              </a:graphic>
            </wp:anchor>
          </w:drawing>
        </mc:Choice>
        <mc:Fallback>
          <w:pict>
            <v:shape id="_x0000_s1041" type="#_x0000_t202" style="position:absolute;margin-left:56.300000000000004pt;margin-top:788.85000000000002pt;width:45.100000000000001pt;height:7.9000000000000004pt;z-index:-188744059;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2025-474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3918585</wp:posOffset>
              </wp:positionH>
              <wp:positionV relativeFrom="page">
                <wp:posOffset>758825</wp:posOffset>
              </wp:positionV>
              <wp:extent cx="64135" cy="103505"/>
              <wp:wrapNone/>
              <wp:docPr id="13" name="Shape 13"/>
              <a:graphic xmlns:a="http://schemas.openxmlformats.org/drawingml/2006/main">
                <a:graphicData uri="http://schemas.microsoft.com/office/word/2010/wordprocessingShape">
                  <wps:wsp>
                    <wps:cNvSpPr txBox="1"/>
                    <wps:spPr>
                      <a:xfrm>
                        <a:ext cx="64135" cy="103505"/>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9" type="#_x0000_t202" style="position:absolute;margin-left:308.55000000000001pt;margin-top:59.75pt;width:5.0499999999999998pt;height:8.1500000000000004pt;z-index:-188744061;mso-wrap-style:none;mso-wrap-distance-left:0;mso-wrap-distance-right:0;mso-position-horizontal-relative:page;mso-position-vertical-relative:page" wrapcoords="0 0" filled="f" stroked="f">
              <v:textbox style="mso-fit-shape-to-text:t" inset="0,0,0,0">
                <w:txbxContent>
                  <w:p>
                    <w:pPr>
                      <w:pStyle w:val="Style13"/>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bCs/>
      <w:i w:val="0"/>
      <w:iCs w:val="0"/>
      <w:smallCaps w:val="0"/>
      <w:strike w:val="0"/>
      <w:color w:val="4561A2"/>
      <w:sz w:val="19"/>
      <w:szCs w:val="19"/>
      <w:u w:val="none"/>
    </w:rPr>
  </w:style>
  <w:style w:type="character" w:customStyle="1" w:styleId="CharStyle9">
    <w:name w:val="Подпись к картинке_"/>
    <w:basedOn w:val="DefaultParagraphFont"/>
    <w:link w:val="Style8"/>
    <w:rPr>
      <w:rFonts w:ascii="Times New Roman" w:eastAsia="Times New Roman" w:hAnsi="Times New Roman" w:cs="Times New Roman"/>
      <w:b w:val="0"/>
      <w:bCs w:val="0"/>
      <w:i w:val="0"/>
      <w:iCs w:val="0"/>
      <w:smallCaps w:val="0"/>
      <w:strike w:val="0"/>
      <w:color w:val="4561A2"/>
      <w:sz w:val="19"/>
      <w:szCs w:val="19"/>
      <w:u w:val="none"/>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sz w:val="26"/>
      <w:szCs w:val="26"/>
      <w:u w:val="none"/>
    </w:rPr>
  </w:style>
  <w:style w:type="character" w:customStyle="1" w:styleId="CharStyle14">
    <w:name w:val="Колонтитул (2)_"/>
    <w:basedOn w:val="DefaultParagraphFont"/>
    <w:link w:val="Style13"/>
    <w:rPr>
      <w:rFonts w:ascii="Times New Roman" w:eastAsia="Times New Roman" w:hAnsi="Times New Roman" w:cs="Times New Roman"/>
      <w:b w:val="0"/>
      <w:bCs w:val="0"/>
      <w:i w:val="0"/>
      <w:iCs w:val="0"/>
      <w:smallCaps w:val="0"/>
      <w:strike w:val="0"/>
      <w:sz w:val="20"/>
      <w:szCs w:val="20"/>
      <w:u w:val="none"/>
    </w:rPr>
  </w:style>
  <w:style w:type="character" w:customStyle="1" w:styleId="CharStyle17">
    <w:name w:val="Заголовок №1_"/>
    <w:basedOn w:val="DefaultParagraphFont"/>
    <w:link w:val="Style16"/>
    <w:rPr>
      <w:rFonts w:ascii="Arial" w:eastAsia="Arial" w:hAnsi="Arial" w:cs="Arial"/>
      <w:b w:val="0"/>
      <w:bCs w:val="0"/>
      <w:i w:val="0"/>
      <w:iCs w:val="0"/>
      <w:smallCaps w:val="0"/>
      <w:strike w:val="0"/>
      <w:sz w:val="48"/>
      <w:szCs w:val="48"/>
      <w:u w:val="none"/>
    </w:rPr>
  </w:style>
  <w:style w:type="character" w:customStyle="1" w:styleId="CharStyle19">
    <w:name w:val="Подпись к таблице_"/>
    <w:basedOn w:val="DefaultParagraphFont"/>
    <w:link w:val="Style18"/>
    <w:rPr>
      <w:rFonts w:ascii="Times New Roman" w:eastAsia="Times New Roman" w:hAnsi="Times New Roman" w:cs="Times New Roman"/>
      <w:b w:val="0"/>
      <w:bCs w:val="0"/>
      <w:i w:val="0"/>
      <w:iCs w:val="0"/>
      <w:smallCaps w:val="0"/>
      <w:strike w:val="0"/>
      <w:sz w:val="26"/>
      <w:szCs w:val="26"/>
      <w:u w:val="single"/>
    </w:rPr>
  </w:style>
  <w:style w:type="character" w:customStyle="1" w:styleId="CharStyle22">
    <w:name w:val="Другое_"/>
    <w:basedOn w:val="DefaultParagraphFont"/>
    <w:link w:val="Style21"/>
    <w:rPr>
      <w:rFonts w:ascii="Times New Roman" w:eastAsia="Times New Roman" w:hAnsi="Times New Roman" w:cs="Times New Roman"/>
      <w:b w:val="0"/>
      <w:bCs w:val="0"/>
      <w:i w:val="0"/>
      <w:iCs w:val="0"/>
      <w:smallCaps w:val="0"/>
      <w:strike w:val="0"/>
      <w:sz w:val="26"/>
      <w:szCs w:val="26"/>
      <w:u w:val="none"/>
    </w:rPr>
  </w:style>
  <w:style w:type="character" w:customStyle="1" w:styleId="CharStyle26">
    <w:name w:val="Основной текст (4)_"/>
    <w:basedOn w:val="DefaultParagraphFont"/>
    <w:link w:val="Style2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120" w:line="278"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Основной текст (3)"/>
    <w:basedOn w:val="Normal"/>
    <w:link w:val="CharStyle6"/>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561A2"/>
      <w:sz w:val="19"/>
      <w:szCs w:val="19"/>
      <w:u w:val="none"/>
    </w:rPr>
  </w:style>
  <w:style w:type="paragraph" w:customStyle="1" w:styleId="Style8">
    <w:name w:val="Подпись к картинке"/>
    <w:basedOn w:val="Normal"/>
    <w:link w:val="CharStyle9"/>
    <w:pPr>
      <w:widowControl w:val="0"/>
      <w:shd w:val="clear" w:color="auto" w:fill="auto"/>
      <w:spacing w:line="254" w:lineRule="auto"/>
    </w:pPr>
    <w:rPr>
      <w:rFonts w:ascii="Times New Roman" w:eastAsia="Times New Roman" w:hAnsi="Times New Roman" w:cs="Times New Roman"/>
      <w:b w:val="0"/>
      <w:bCs w:val="0"/>
      <w:i w:val="0"/>
      <w:iCs w:val="0"/>
      <w:smallCaps w:val="0"/>
      <w:strike w:val="0"/>
      <w:color w:val="4561A2"/>
      <w:sz w:val="19"/>
      <w:szCs w:val="19"/>
      <w:u w:val="none"/>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3">
    <w:name w:val="Колонтитул (2)"/>
    <w:basedOn w:val="Normal"/>
    <w:link w:val="CharStyle14"/>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6">
    <w:name w:val="Заголовок №1"/>
    <w:basedOn w:val="Normal"/>
    <w:link w:val="CharStyle17"/>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 w:type="paragraph" w:customStyle="1" w:styleId="Style18">
    <w:name w:val="Подпись к таблице"/>
    <w:basedOn w:val="Normal"/>
    <w:link w:val="CharStyle19"/>
    <w:pPr>
      <w:widowControl w:val="0"/>
      <w:shd w:val="clear" w:color="auto" w:fill="auto"/>
      <w:ind w:firstLine="720"/>
    </w:pPr>
    <w:rPr>
      <w:rFonts w:ascii="Times New Roman" w:eastAsia="Times New Roman" w:hAnsi="Times New Roman" w:cs="Times New Roman"/>
      <w:b w:val="0"/>
      <w:bCs w:val="0"/>
      <w:i w:val="0"/>
      <w:iCs w:val="0"/>
      <w:smallCaps w:val="0"/>
      <w:strike w:val="0"/>
      <w:sz w:val="26"/>
      <w:szCs w:val="26"/>
      <w:u w:val="single"/>
    </w:rPr>
  </w:style>
  <w:style w:type="paragraph" w:customStyle="1" w:styleId="Style21">
    <w:name w:val="Другое"/>
    <w:basedOn w:val="Normal"/>
    <w:link w:val="CharStyle22"/>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5">
    <w:name w:val="Основной текст (4)"/>
    <w:basedOn w:val="Normal"/>
    <w:link w:val="CharStyle26"/>
    <w:pPr>
      <w:widowControl w:val="0"/>
      <w:shd w:val="clear" w:color="auto" w:fill="auto"/>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s>
</file>