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5"/>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98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28.01.2025</w:t>
      </w:r>
      <w:r>
        <w:fldChar w:fldCharType="end"/>
      </w:r>
      <w:r>
        <w:rPr>
          <w:color w:val="000000"/>
          <w:spacing w:val="0"/>
          <w:w w:val="100"/>
          <w:position w:val="0"/>
          <w:shd w:val="clear" w:color="auto" w:fill="auto"/>
          <w:lang w:val="ru-RU" w:eastAsia="ru-RU" w:bidi="ru-RU"/>
        </w:rPr>
        <w:tab/>
        <w:t>№ 684/25</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«Уралстройсервис»</w:t>
      </w:r>
      <w:bookmarkEnd w:id="2"/>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618417, Пермский край, г. Березники, ул.</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Карла Маркса, д. 60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зЬои@ооо-ига188.ги</w:t>
      </w:r>
    </w:p>
    <w:p>
      <w:pPr>
        <w:pStyle w:val="Style15"/>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МКУ «Управление капитального строительства»</w:t>
      </w:r>
      <w:bookmarkEnd w:id="4"/>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618417, Пермский край, г. Березники, пер.</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Ясельный, 6</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Ьег-икз@таП.ш</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 xml:space="preserve">ГКУ ПК «Центр организации закупок» </w:t>
      </w: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ШсЬе1та@сх.регткгаЁш</w:t>
      </w:r>
    </w:p>
    <w:p>
      <w:pPr>
        <w:pStyle w:val="Style15"/>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Комиссия ГКУ ПК «Центр организации закупок»</w:t>
      </w:r>
      <w:bookmarkEnd w:id="6"/>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ШсЬе1та@сх.регткгаЁш</w:t>
      </w:r>
    </w:p>
    <w:p>
      <w:pPr>
        <w:pStyle w:val="Style15"/>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z w:val="24"/>
          <w:szCs w:val="24"/>
          <w:shd w:val="clear" w:color="auto" w:fill="auto"/>
          <w:lang w:val="ru-RU" w:eastAsia="ru-RU" w:bidi="ru-RU"/>
        </w:rPr>
        <w:t>ЭТП «Фабрикант»</w:t>
      </w:r>
      <w:bookmarkEnd w:id="8"/>
    </w:p>
    <w:p>
      <w:pPr>
        <w:pStyle w:val="Style13"/>
        <w:keepNext w:val="0"/>
        <w:keepLines w:val="0"/>
        <w:widowControl w:val="0"/>
        <w:shd w:val="clear" w:color="auto" w:fill="auto"/>
        <w:bidi w:val="0"/>
        <w:spacing w:before="0" w:after="0" w:line="240" w:lineRule="auto"/>
        <w:ind w:left="0" w:right="0" w:firstLine="0"/>
        <w:jc w:val="both"/>
        <w:sectPr>
          <w:footerReference w:type="default" r:id="rId7"/>
          <w:footerReference w:type="first" r:id="rId8"/>
          <w:footnotePr>
            <w:pos w:val="pageBottom"/>
            <w:numFmt w:val="decimal"/>
            <w:numRestart w:val="continuous"/>
          </w:footnotePr>
          <w:pgSz w:w="11900" w:h="16840"/>
          <w:pgMar w:top="284" w:right="868" w:bottom="1313" w:left="1140" w:header="0" w:footer="3" w:gutter="0"/>
          <w:pgNumType w:start="1"/>
          <w:cols w:num="2" w:space="720" w:equalWidth="0">
            <w:col w:w="4061" w:space="1200"/>
            <w:col w:w="4632"/>
          </w:cols>
          <w:noEndnote/>
          <w:titlePg/>
          <w:rtlGutter w:val="0"/>
          <w:docGrid w:linePitch="360"/>
        </w:sectPr>
      </w:pPr>
      <w:r>
        <w:rPr>
          <w:color w:val="000000"/>
          <w:spacing w:val="0"/>
          <w:w w:val="100"/>
          <w:position w:val="0"/>
          <w:sz w:val="24"/>
          <w:szCs w:val="24"/>
          <w:shd w:val="clear" w:color="auto" w:fill="auto"/>
          <w:lang w:val="ru-RU" w:eastAsia="ru-RU" w:bidi="ru-RU"/>
        </w:rPr>
        <w:t>тГо@ГаЬпкап1.ги</w:t>
      </w: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27" w:right="0" w:bottom="1270"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РЕШЕНИЕ по делу № 059/06/105-40/2025</w:t>
      </w:r>
      <w:bookmarkEnd w:id="10"/>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(жалоба ООО «Уралстройсервис», вх. № 605/25 от 21.01.2025 г.)</w:t>
      </w:r>
    </w:p>
    <w:p>
      <w:pPr>
        <w:pStyle w:val="Style15"/>
        <w:keepNext/>
        <w:keepLines/>
        <w:widowControl w:val="0"/>
        <w:shd w:val="clear" w:color="auto" w:fill="auto"/>
        <w:tabs>
          <w:tab w:pos="9216" w:val="left"/>
        </w:tabs>
        <w:bidi w:val="0"/>
        <w:spacing w:before="0" w:after="0" w:line="240" w:lineRule="auto"/>
        <w:ind w:left="0" w:right="0" w:firstLine="0"/>
        <w:jc w:val="both"/>
      </w:pPr>
      <w:bookmarkStart w:id="12" w:name="bookmark12"/>
      <w:r>
        <w:rPr>
          <w:color w:val="000000"/>
          <w:spacing w:val="0"/>
          <w:w w:val="100"/>
          <w:position w:val="0"/>
          <w:sz w:val="24"/>
          <w:szCs w:val="24"/>
          <w:shd w:val="clear" w:color="auto" w:fill="auto"/>
          <w:lang w:val="ru-RU" w:eastAsia="ru-RU" w:bidi="ru-RU"/>
        </w:rPr>
        <w:t>27.01.2025 г.</w:t>
        <w:tab/>
        <w:t>г. Пермь</w:t>
      </w:r>
      <w:bookmarkEnd w:id="12"/>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ind w:left="0" w:right="0" w:firstLine="720"/>
        <w:jc w:val="both"/>
      </w:pPr>
      <w:r>
        <w:rPr>
          <w:b/>
          <w:bCs/>
          <w:color w:val="000000"/>
          <w:spacing w:val="0"/>
          <w:w w:val="100"/>
          <w:position w:val="0"/>
          <w:sz w:val="24"/>
          <w:szCs w:val="24"/>
          <w:shd w:val="clear" w:color="auto" w:fill="auto"/>
          <w:lang w:val="ru-RU" w:eastAsia="ru-RU" w:bidi="ru-RU"/>
        </w:rPr>
        <w:t xml:space="preserve">Председатель Комиссии - Белова А.Н., </w:t>
      </w:r>
      <w:r>
        <w:rPr>
          <w:color w:val="000000"/>
          <w:spacing w:val="0"/>
          <w:w w:val="100"/>
          <w:position w:val="0"/>
          <w:sz w:val="24"/>
          <w:szCs w:val="24"/>
          <w:shd w:val="clear" w:color="auto" w:fill="auto"/>
          <w:lang w:val="ru-RU" w:eastAsia="ru-RU" w:bidi="ru-RU"/>
        </w:rPr>
        <w:t>заместитель руководителя Управления,</w:t>
      </w:r>
    </w:p>
    <w:p>
      <w:pPr>
        <w:pStyle w:val="Style15"/>
        <w:keepNext/>
        <w:keepLines/>
        <w:widowControl w:val="0"/>
        <w:shd w:val="clear" w:color="auto" w:fill="auto"/>
        <w:bidi w:val="0"/>
        <w:spacing w:before="0" w:after="60" w:line="276" w:lineRule="auto"/>
        <w:ind w:left="0" w:right="0" w:firstLine="720"/>
        <w:jc w:val="both"/>
      </w:pPr>
      <w:bookmarkStart w:id="14" w:name="bookmark14"/>
      <w:r>
        <w:rPr>
          <w:color w:val="000000"/>
          <w:spacing w:val="0"/>
          <w:w w:val="100"/>
          <w:position w:val="0"/>
          <w:sz w:val="24"/>
          <w:szCs w:val="24"/>
          <w:shd w:val="clear" w:color="auto" w:fill="auto"/>
          <w:lang w:val="ru-RU" w:eastAsia="ru-RU" w:bidi="ru-RU"/>
        </w:rPr>
        <w:t>члены комиссии:</w:t>
      </w:r>
      <w:bookmarkEnd w:id="14"/>
    </w:p>
    <w:p>
      <w:pPr>
        <w:pStyle w:val="Style13"/>
        <w:keepNext w:val="0"/>
        <w:keepLines w:val="0"/>
        <w:widowControl w:val="0"/>
        <w:numPr>
          <w:ilvl w:val="0"/>
          <w:numId w:val="1"/>
        </w:numPr>
        <w:shd w:val="clear" w:color="auto" w:fill="auto"/>
        <w:tabs>
          <w:tab w:pos="987" w:val="left"/>
        </w:tabs>
        <w:bidi w:val="0"/>
        <w:spacing w:before="0" w:after="0"/>
        <w:ind w:left="0" w:right="0" w:firstLine="720"/>
        <w:jc w:val="both"/>
      </w:pPr>
      <w:r>
        <w:rPr>
          <w:b/>
          <w:bCs/>
          <w:color w:val="000000"/>
          <w:spacing w:val="0"/>
          <w:w w:val="100"/>
          <w:position w:val="0"/>
          <w:sz w:val="24"/>
          <w:szCs w:val="24"/>
          <w:shd w:val="clear" w:color="auto" w:fill="auto"/>
          <w:lang w:val="ru-RU" w:eastAsia="ru-RU" w:bidi="ru-RU"/>
        </w:rPr>
        <w:t xml:space="preserve">Качин М.Е.,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numPr>
          <w:ilvl w:val="0"/>
          <w:numId w:val="1"/>
        </w:numPr>
        <w:shd w:val="clear" w:color="auto" w:fill="auto"/>
        <w:tabs>
          <w:tab w:pos="982" w:val="left"/>
        </w:tabs>
        <w:bidi w:val="0"/>
        <w:spacing w:before="0" w:after="0"/>
        <w:ind w:left="0" w:right="0" w:firstLine="720"/>
        <w:jc w:val="both"/>
      </w:pPr>
      <w:r>
        <w:rPr>
          <w:b/>
          <w:bCs/>
          <w:color w:val="000000"/>
          <w:spacing w:val="0"/>
          <w:w w:val="100"/>
          <w:position w:val="0"/>
          <w:sz w:val="24"/>
          <w:szCs w:val="24"/>
          <w:shd w:val="clear" w:color="auto" w:fill="auto"/>
          <w:lang w:val="ru-RU" w:eastAsia="ru-RU" w:bidi="ru-RU"/>
        </w:rPr>
        <w:t xml:space="preserve">Журавлев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участии посредством ВКС: представителей ООО «Уралстройсервис» - Комозина Г.О., Синицына Н.Я., Стрельникова Е.В. (на основании доверенностей), представителя комиссии ГКУ ПК «Центр организации закупок» - Никитиной М.А. (на основании доверенности),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отсутствие представителя МКУ «Управление капитального строительства» (извещены надлежащим образом),</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рассмотрев жалобу ООО «Уралстройсервис» (далее - Заявитель) на действия комиссии ГКУ ПК «Центр организации закупок» (далее - Конкурсная комиссия) при проведении открытого конкурса в электронной форме на строительство автодороги от перекрестка улиц 8 Марта - Ивачева в г. Усолье до ул. Ивана Дощеникова в г. Березники (изв.№ 0356500001424009190),</w:t>
      </w:r>
    </w:p>
    <w:p>
      <w:pPr>
        <w:pStyle w:val="Style13"/>
        <w:keepNext w:val="0"/>
        <w:keepLines w:val="0"/>
        <w:widowControl w:val="0"/>
        <w:shd w:val="clear" w:color="auto" w:fill="auto"/>
        <w:bidi w:val="0"/>
        <w:spacing w:before="0" w:after="140"/>
        <w:ind w:left="0" w:right="0" w:firstLine="0"/>
        <w:jc w:val="center"/>
      </w:pPr>
      <w:r>
        <w:rPr>
          <w:b/>
          <w:bCs/>
          <w:color w:val="000000"/>
          <w:spacing w:val="0"/>
          <w:w w:val="100"/>
          <w:position w:val="0"/>
          <w:sz w:val="24"/>
          <w:szCs w:val="24"/>
          <w:shd w:val="clear" w:color="auto" w:fill="auto"/>
          <w:lang w:val="ru-RU" w:eastAsia="ru-RU" w:bidi="ru-RU"/>
        </w:rPr>
        <w:t>УСТАНОВИЛА:</w:t>
      </w:r>
    </w:p>
    <w:p>
      <w:pPr>
        <w:widowControl w:val="0"/>
        <w:spacing w:line="1" w:lineRule="exact"/>
      </w:pPr>
      <w:r>
        <w:drawing>
          <wp:anchor distT="88900" distB="0" distL="0" distR="0" simplePos="0" relativeHeight="125829378" behindDoc="0" locked="0" layoutInCell="1" allowOverlap="1">
            <wp:simplePos x="0" y="0"/>
            <wp:positionH relativeFrom="page">
              <wp:posOffset>717550</wp:posOffset>
            </wp:positionH>
            <wp:positionV relativeFrom="paragraph">
              <wp:posOffset>88900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Конкурсной комиссии.</w:t>
      </w:r>
    </w:p>
    <w:p>
      <w:pPr>
        <w:pStyle w:val="Style13"/>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извещению № 0356500001424009190 МКУ «Управление капитального строительства» (далее - Заказчик), ГКУ ПК «Центр организации закупок» (далее - Уполномоченное учреждение) проводился открытый конкурс в электронной форме на строительство автодороги от перекрестка улиц 8 Марта - Ивачева в г. Усолье до ул. Ивана Дощеникова в г. Березники.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извещением о проведении открытого конкурса в электронной форме:</w:t>
      </w:r>
    </w:p>
    <w:p>
      <w:pPr>
        <w:pStyle w:val="Style13"/>
        <w:keepNext w:val="0"/>
        <w:keepLines w:val="0"/>
        <w:widowControl w:val="0"/>
        <w:numPr>
          <w:ilvl w:val="0"/>
          <w:numId w:val="3"/>
        </w:numPr>
        <w:shd w:val="clear" w:color="auto" w:fill="auto"/>
        <w:tabs>
          <w:tab w:pos="103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извещение о проведении открытого конкурса в электронной форме размещено в единой информационной системе в сфере закупок \\л\л\-.хакирк1.до\'.ги (далее - ЕИС) - 27.12.2024 г.</w:t>
      </w:r>
    </w:p>
    <w:p>
      <w:pPr>
        <w:pStyle w:val="Style13"/>
        <w:keepNext w:val="0"/>
        <w:keepLines w:val="0"/>
        <w:widowControl w:val="0"/>
        <w:numPr>
          <w:ilvl w:val="0"/>
          <w:numId w:val="3"/>
        </w:numPr>
        <w:shd w:val="clear" w:color="auto" w:fill="auto"/>
        <w:tabs>
          <w:tab w:pos="1729"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Конкурс;</w:t>
      </w:r>
    </w:p>
    <w:p>
      <w:pPr>
        <w:pStyle w:val="Style13"/>
        <w:keepNext w:val="0"/>
        <w:keepLines w:val="0"/>
        <w:widowControl w:val="0"/>
        <w:numPr>
          <w:ilvl w:val="0"/>
          <w:numId w:val="3"/>
        </w:numPr>
        <w:shd w:val="clear" w:color="auto" w:fill="auto"/>
        <w:tabs>
          <w:tab w:pos="1729"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- 102 159 985,61 руб.;</w:t>
      </w:r>
    </w:p>
    <w:p>
      <w:pPr>
        <w:pStyle w:val="Style13"/>
        <w:keepNext w:val="0"/>
        <w:keepLines w:val="0"/>
        <w:widowControl w:val="0"/>
        <w:numPr>
          <w:ilvl w:val="0"/>
          <w:numId w:val="3"/>
        </w:numPr>
        <w:shd w:val="clear" w:color="auto" w:fill="auto"/>
        <w:tabs>
          <w:tab w:pos="1729"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дата окончания подачи заявок - 14.01.2025 г.</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14.01.2025 №ИЭОК1 заявка Заявителя (идентификационный номер заявки - 2) была отклонена Конкурсной комиссией на основании п. 3 ч. 12 ст. 48 Закона о закупках - несоответствие участника закупки требованиям, установленным в извещении об осуществлении закупки в соответствии с ч. 2 (при наличии таких требований) ст. 31 Закона о закупках, в частности, отсутствуют копии документов, подтверждающие соответствие участника закупки требованиям, установленным частью 2 статьи 31 Закона о контрактной системе: требования в соответствии с позицией 17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 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автомобильной дороги или 2) опыт исполнения договора, предусматривающего выполнение работ по КАПИТАЛЬНОМУ РЕМОНТУ автомобильной дороги или 3) опыт выполнения участником закупки, являющимся застройщиком, работ по строительству, реконструкции, капитальному ремонту автомобильной дороги. (Представлен не соответствующий по опыту выполнения работ договор от 14.05.2020 г. № 88-20-р на выполнение работ по ТЕКУЩЕМУ РЕМОНТУ автомобильной дороги).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Заявитель с решением Конкурсной комиссии не согласен, поскольку полагает, работы, выполненные участником закупки в рамках договора от 14.05.2020 г. № 88-20-р Заявителем выполнялись работы, которые затрагивают характеристики надежности и безопасности автомобильной дороги, что в соответствии с Сводом правил от 30.06.2012 №78.13330.2012 Автомобильные дороги. Актуализированная редакция СНиП 3.06.03-85 позволяет отнести договор от 14.05.2020 г. № 88-20-р к договору на выполнение капитального ремонта автомобильной дороги.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письменных пояснениях, а также в ходе заседания Комиссии, представитель Конкурсной </w:t>
      </w:r>
      <w:r>
        <w:rPr>
          <w:color w:val="000000"/>
          <w:spacing w:val="0"/>
          <w:w w:val="100"/>
          <w:position w:val="0"/>
          <w:sz w:val="24"/>
          <w:szCs w:val="24"/>
          <w:shd w:val="clear" w:color="auto" w:fill="auto"/>
          <w:lang w:val="ru-RU" w:eastAsia="ru-RU" w:bidi="ru-RU"/>
        </w:rPr>
        <w:t>комиссии указал, что в результате анализа заявки Заявителя установлено, что в качестве подтверждения наличия соответствующего опыта был представлен контракт № 88-20-р от 14.05.2020 г. на выполнение работ по ремонту региональной автомобильной дороги общего пользования «Усолье - Сороковая» км 1+770 - 34+628 в Пермском крае, заключенный по результатам проведения электронного аукциона (изв. № 0156200009920000177) с КГБУ «УАДиТ» (далее - Контракт). Вопреки доводам Заявителя, в соответствии с Приказом Министерства транспорта РФ от 16 ноября 2012 г. № 402 (далее - Приказ № 402) «Об утверждении Классификации работ по капитальному ремонту, ремонту и содержанию автомобильных дорог», предусмотренные сметной документацией к Контракту работы относятся работам по ремонту автомобильных дорог, в том числе:</w:t>
      </w:r>
    </w:p>
    <w:p>
      <w:pPr>
        <w:pStyle w:val="Style13"/>
        <w:keepNext w:val="0"/>
        <w:keepLines w:val="0"/>
        <w:widowControl w:val="0"/>
        <w:numPr>
          <w:ilvl w:val="0"/>
          <w:numId w:val="5"/>
        </w:numPr>
        <w:shd w:val="clear" w:color="auto" w:fill="auto"/>
        <w:tabs>
          <w:tab w:pos="94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ремонт участков, разрушенных вследствие пучинообразования;</w:t>
      </w:r>
    </w:p>
    <w:p>
      <w:pPr>
        <w:pStyle w:val="Style13"/>
        <w:keepNext w:val="0"/>
        <w:keepLines w:val="0"/>
        <w:widowControl w:val="0"/>
        <w:numPr>
          <w:ilvl w:val="0"/>
          <w:numId w:val="5"/>
        </w:numPr>
        <w:shd w:val="clear" w:color="auto" w:fill="auto"/>
        <w:tabs>
          <w:tab w:pos="94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укрепление обочин.</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Довод Заявителя о том, что замена барьерных ограждений является видом работ, выполняемых в рамках капитального ремонта, считаем несостоятельным, поскольку в действующей на момент заключения Контракта и его исполнения редакции Приказа № 402, в иных нормах градостроительного законодательства отсутствовали положения об отнесении работ по замене барьерных ограждений к работам капитального характера. При этом, представленный Заявителем опыт выполнения работ основан на требованиях градостроительного законодательства к текущему ремонту автомобильных дорог, действовавших в период с 2020 по 2021 год.</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закупках, требования, предъявляемые к участникам закупки в соответствии с ч. 2 и 2.1 (при наличии таких требований) ст. 31 Закона о закупках,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закупках (при наличии такого требования).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2 ст. 31 Закона о закупках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3"/>
        <w:keepNext w:val="0"/>
        <w:keepLines w:val="0"/>
        <w:widowControl w:val="0"/>
        <w:numPr>
          <w:ilvl w:val="0"/>
          <w:numId w:val="7"/>
        </w:numPr>
        <w:shd w:val="clear" w:color="auto" w:fill="auto"/>
        <w:tabs>
          <w:tab w:pos="104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3"/>
        <w:keepNext w:val="0"/>
        <w:keepLines w:val="0"/>
        <w:widowControl w:val="0"/>
        <w:numPr>
          <w:ilvl w:val="0"/>
          <w:numId w:val="7"/>
        </w:numPr>
        <w:shd w:val="clear" w:color="auto" w:fill="auto"/>
        <w:tabs>
          <w:tab w:pos="109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3"/>
        <w:keepNext w:val="0"/>
        <w:keepLines w:val="0"/>
        <w:widowControl w:val="0"/>
        <w:numPr>
          <w:ilvl w:val="0"/>
          <w:numId w:val="7"/>
        </w:numPr>
        <w:shd w:val="clear" w:color="auto" w:fill="auto"/>
        <w:tabs>
          <w:tab w:pos="106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3"/>
        <w:keepNext w:val="0"/>
        <w:keepLines w:val="0"/>
        <w:widowControl w:val="0"/>
        <w:numPr>
          <w:ilvl w:val="0"/>
          <w:numId w:val="7"/>
        </w:numPr>
        <w:shd w:val="clear" w:color="auto" w:fill="auto"/>
        <w:tabs>
          <w:tab w:pos="109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3 ст. 31 Закона о закупках перечень информации и документов, которые подтверждают соответствие участников закупок дополнительным требованиям, указанным в ч. 2 и 2.1 ст. 31 Закона о закупках, устанавливается Правительством Российской Федерации.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ч. 4 ст. 31 Закона о закупках в случае установления Правительством Российской Федерации в соответствии с ч. 2 ст. 31 Закона о закупках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 основании ч. 6 ст. 31 Закона о закупках Заказчики не вправе устанавливать требования к участникам закупок в нарушение требований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ч. 12 ст. 24.2 Закона о закупках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 2 и 2.1 ст. 31 Закона о закупках,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 3 ст. 31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пп. «а» п. 1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ПП РФ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Абзацем 4 пп «а» п. 3 ПП РФ № 2571 установлено, что положения ПП РФ № 2571 применяются при проведении конкурентных способов определения поставщиков (подрядчиков, исполнителей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Абзацами 6, 8 пп. «б» п. 3 ПП РФ № 2571 установлено, что для целей настоящего постановления:</w:t>
      </w:r>
    </w:p>
    <w:p>
      <w:pPr>
        <w:pStyle w:val="Style13"/>
        <w:keepNext w:val="0"/>
        <w:keepLines w:val="0"/>
        <w:widowControl w:val="0"/>
        <w:numPr>
          <w:ilvl w:val="0"/>
          <w:numId w:val="9"/>
        </w:numPr>
        <w:shd w:val="clear" w:color="auto" w:fill="auto"/>
        <w:tabs>
          <w:tab w:pos="93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договором, предусмотренным позицией 1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пунктом 1, пунктом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позиции 2, пунктом 1 позиции 7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пунктом 1 позиции 8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пунктом 1, пунктом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позиции 9, пунктом 1, пунктом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позиции 10, пунктом 1, пунктом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позиции 11, пунктом 1, пунктом 2 (если направляемый договор предусматривает выполнение работ, не требующих в соответствии с </w:t>
      </w:r>
      <w:r>
        <w:rPr>
          <w:color w:val="000000"/>
          <w:spacing w:val="0"/>
          <w:w w:val="100"/>
          <w:position w:val="0"/>
          <w:sz w:val="24"/>
          <w:szCs w:val="24"/>
          <w:shd w:val="clear" w:color="auto" w:fill="auto"/>
          <w:lang w:val="ru-RU" w:eastAsia="ru-RU" w:bidi="ru-RU"/>
        </w:rPr>
        <w:t>законодательством о градостроительной деятельности выдачи разрешения на ввод объекта капитального строительства в эксплуатацию) позиции 12, пункта 1 позиции 13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позицией 14, пунктами 1 и 2 позиции 15, пунктом 1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пунктом 2 позиции 17, пунктом 1, пунктом 2 и пунктом 3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позиции 18, позициями 32 - 36(1), пунктом 1 позиции 37, пунктом 1 позиции 39, позициями 40 и 41 приложения в графе «Дополнительные требования к участникам закупки», считается контракт, заключенный и исполненный в соответствии с Законом о закупках, либо договор, заключенный и исполненный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numPr>
          <w:ilvl w:val="0"/>
          <w:numId w:val="9"/>
        </w:numPr>
        <w:shd w:val="clear" w:color="auto" w:fill="auto"/>
        <w:tabs>
          <w:tab w:pos="101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о закупках в полном объеме и со всеми приложениями, за исключением случаев, предусмотренных абзацами шестым и седьмым пп. «г» п. 3 ПП РФ № 2571. При проведении предусмотренных Законом о закупках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 При проведении закрытого конкурса, закрытого аукциона направляются документы или заверенные участником закупки их копии.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17 раздела 3 приложения к ПП РФ № 2571 при осуществлении работ по строительству, реконструкции, капитальному ремонту автомобильной дороги к участникам закупки устанавливается дополнительное требование:</w:t>
      </w:r>
    </w:p>
    <w:p>
      <w:pPr>
        <w:pStyle w:val="Style13"/>
        <w:keepNext w:val="0"/>
        <w:keepLines w:val="0"/>
        <w:widowControl w:val="0"/>
        <w:numPr>
          <w:ilvl w:val="0"/>
          <w:numId w:val="9"/>
        </w:numPr>
        <w:shd w:val="clear" w:color="auto" w:fill="auto"/>
        <w:tabs>
          <w:tab w:pos="164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наличие у участника закупки одного из следующих видов опыта выполнения работ:</w:t>
      </w:r>
    </w:p>
    <w:p>
      <w:pPr>
        <w:pStyle w:val="Style13"/>
        <w:keepNext w:val="0"/>
        <w:keepLines w:val="0"/>
        <w:widowControl w:val="0"/>
        <w:numPr>
          <w:ilvl w:val="0"/>
          <w:numId w:val="11"/>
        </w:numPr>
        <w:shd w:val="clear" w:color="auto" w:fill="auto"/>
        <w:tabs>
          <w:tab w:pos="106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3"/>
        <w:keepNext w:val="0"/>
        <w:keepLines w:val="0"/>
        <w:widowControl w:val="0"/>
        <w:numPr>
          <w:ilvl w:val="0"/>
          <w:numId w:val="11"/>
        </w:numPr>
        <w:shd w:val="clear" w:color="auto" w:fill="auto"/>
        <w:tabs>
          <w:tab w:pos="106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13"/>
        <w:keepNext w:val="0"/>
        <w:keepLines w:val="0"/>
        <w:widowControl w:val="0"/>
        <w:numPr>
          <w:ilvl w:val="0"/>
          <w:numId w:val="11"/>
        </w:numPr>
        <w:shd w:val="clear" w:color="auto" w:fill="auto"/>
        <w:tabs>
          <w:tab w:pos="105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капитальному ремонту автомобильной дороги.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Цена выполненных работ по договорам, предусмотренным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pPr>
        <w:pStyle w:val="Style13"/>
        <w:keepNext w:val="0"/>
        <w:keepLines w:val="0"/>
        <w:widowControl w:val="0"/>
        <w:numPr>
          <w:ilvl w:val="0"/>
          <w:numId w:val="13"/>
        </w:numPr>
        <w:shd w:val="clear" w:color="auto" w:fill="auto"/>
        <w:tabs>
          <w:tab w:pos="101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13"/>
        <w:keepNext w:val="0"/>
        <w:keepLines w:val="0"/>
        <w:widowControl w:val="0"/>
        <w:numPr>
          <w:ilvl w:val="0"/>
          <w:numId w:val="13"/>
        </w:numPr>
        <w:shd w:val="clear" w:color="auto" w:fill="auto"/>
        <w:tabs>
          <w:tab w:pos="101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качестве документов, подтверждающих наличие у участника соответствующего опыта, в п. 17 раздела 3 приложения к ПП РФ № 2571 установлено следующее:</w:t>
      </w:r>
    </w:p>
    <w:p>
      <w:pPr>
        <w:pStyle w:val="Style13"/>
        <w:keepNext w:val="0"/>
        <w:keepLines w:val="0"/>
        <w:widowControl w:val="0"/>
        <w:numPr>
          <w:ilvl w:val="0"/>
          <w:numId w:val="13"/>
        </w:numPr>
        <w:shd w:val="clear" w:color="auto" w:fill="auto"/>
        <w:tabs>
          <w:tab w:pos="102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случае наличия опыта, предусмотренного пунктом 1 графы «Дополнительные требования к участникам закупки» настоящей позиции:</w:t>
      </w:r>
    </w:p>
    <w:p>
      <w:pPr>
        <w:pStyle w:val="Style13"/>
        <w:keepNext w:val="0"/>
        <w:keepLines w:val="0"/>
        <w:widowControl w:val="0"/>
        <w:numPr>
          <w:ilvl w:val="0"/>
          <w:numId w:val="15"/>
        </w:numPr>
        <w:shd w:val="clear" w:color="auto" w:fill="auto"/>
        <w:tabs>
          <w:tab w:pos="109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исполненный договор;</w:t>
      </w:r>
    </w:p>
    <w:p>
      <w:pPr>
        <w:pStyle w:val="Style13"/>
        <w:keepNext w:val="0"/>
        <w:keepLines w:val="0"/>
        <w:widowControl w:val="0"/>
        <w:numPr>
          <w:ilvl w:val="0"/>
          <w:numId w:val="15"/>
        </w:numPr>
        <w:shd w:val="clear" w:color="auto" w:fill="auto"/>
        <w:tabs>
          <w:tab w:pos="110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pPr>
        <w:pStyle w:val="Style13"/>
        <w:keepNext w:val="0"/>
        <w:keepLines w:val="0"/>
        <w:widowControl w:val="0"/>
        <w:numPr>
          <w:ilvl w:val="0"/>
          <w:numId w:val="15"/>
        </w:numPr>
        <w:shd w:val="clear" w:color="auto" w:fill="auto"/>
        <w:tabs>
          <w:tab w:pos="110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случае наличия опыта, предусмотренного пунктом 2 графы «Дополнительные требования к участникам закупки» настоящей позиции: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1) исполненный договор;</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2) акт выполненных работ, подтверждающий цену выполненных работ.</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случае наличия опыта, предусмотренного пунктом 3 графы «Дополнительные требования к участникам закупки» настоящей позиции: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1) раздел «Смета на строительство, реконструкцию, капитальный ремонт, снос объекта капитального строительства» проектной документации;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17"/>
        </w:numPr>
        <w:shd w:val="clear" w:color="auto" w:fill="auto"/>
        <w:tabs>
          <w:tab w:pos="1086"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9"/>
        </w:numPr>
        <w:shd w:val="clear" w:color="auto" w:fill="auto"/>
        <w:tabs>
          <w:tab w:pos="109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19"/>
        </w:numPr>
        <w:shd w:val="clear" w:color="auto" w:fill="auto"/>
        <w:tabs>
          <w:tab w:pos="109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9"/>
        </w:numPr>
        <w:shd w:val="clear" w:color="auto" w:fill="auto"/>
        <w:tabs>
          <w:tab w:pos="108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9"/>
        </w:numPr>
        <w:shd w:val="clear" w:color="auto" w:fill="auto"/>
        <w:tabs>
          <w:tab w:pos="101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17"/>
        </w:numPr>
        <w:shd w:val="clear" w:color="auto" w:fill="auto"/>
        <w:tabs>
          <w:tab w:pos="104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пп. «н» п. 1 ч. 1 ст. 43 Закона о закупках для участия в конкурентном способе заявка на участие в закупке, если иное не предусмотрено Законом о закупках, должна документы, подтверждающие соответствие участника закупки требованиям, установленным п. 1 ч. 1 ст. 31 Закона о закупках,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 31 Закона о закупках, если иное не предусмотрено Законом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3 ч. 6 ст. 43 Закона о закупках при проведении электронных процедур, закрытых электронных процедур документы, подтверждающие соответствие участника закупки дополнительным требованиям, установленным в соответствии с ч. 2 или 2.1 (при наличии таких требований) ст. 31 Закона о закупках, и предусмотренные пп. «н»» п. 1 ч. 1 ст. 43 Закона о закупках, не включаются участником закупки в заявку на участие в закупке. Такие документы в случаях, предусмотренных Законом о закупках,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2 ст. 48 Закона о закупках заявка на участие в закупке состоит из трех частей. Первая часть должна содержать информацию и документы, предусмотренные пп. «а», «б» и «г» п. 2 ч. 1 ст. 43 Закона о закупках. Первая часть также может содержать информацию и документы, предусмотренные пп. «д» п. 2 ч. 1 ст. 43 Закона о закупках. Вторая часть должна содержать информацию и документы, предусмотренные пп. «м» - «р» п. 1, пп. «в» п. 2, п. 5 ч. 1 ст. 43 Закона о закупках. Третья часть должна содержать информацию, предусмотренную п. 3 или п. 4 ч. 1 ст. 43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2 ч. 10 ст. 48 Закона о закупках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ч. 24 ст. 22 Закона о закупках) оператор электронной площадки: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 2 и 3 ч. 6 ст. 43 Закона о закупках информацию и документы участников закупок, подавших такие заявки.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ч. 11 ст. 48 Закона о закупках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закупках,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3"/>
        <w:keepNext w:val="0"/>
        <w:keepLines w:val="0"/>
        <w:widowControl w:val="0"/>
        <w:numPr>
          <w:ilvl w:val="0"/>
          <w:numId w:val="21"/>
        </w:numPr>
        <w:shd w:val="clear" w:color="auto" w:fill="auto"/>
        <w:tabs>
          <w:tab w:pos="104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23"/>
        </w:numPr>
        <w:shd w:val="clear" w:color="auto" w:fill="auto"/>
        <w:tabs>
          <w:tab w:pos="104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ст. 48 Закона о закупках,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3"/>
        <w:keepNext w:val="0"/>
        <w:keepLines w:val="0"/>
        <w:widowControl w:val="0"/>
        <w:numPr>
          <w:ilvl w:val="0"/>
          <w:numId w:val="23"/>
        </w:numPr>
        <w:shd w:val="clear" w:color="auto" w:fill="auto"/>
        <w:tabs>
          <w:tab w:pos="105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Закона о закупках (если такой критерий установлен извещением об осуществлении закупки);</w:t>
      </w:r>
    </w:p>
    <w:p>
      <w:pPr>
        <w:pStyle w:val="Style13"/>
        <w:keepNext w:val="0"/>
        <w:keepLines w:val="0"/>
        <w:widowControl w:val="0"/>
        <w:numPr>
          <w:ilvl w:val="0"/>
          <w:numId w:val="21"/>
        </w:numPr>
        <w:shd w:val="clear" w:color="auto" w:fill="auto"/>
        <w:tabs>
          <w:tab w:pos="32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заказчик формирует с использованием электронной площадки протокол рассмотрения и </w:t>
      </w:r>
      <w:r>
        <w:rPr>
          <w:color w:val="000000"/>
          <w:spacing w:val="0"/>
          <w:w w:val="100"/>
          <w:position w:val="0"/>
          <w:sz w:val="24"/>
          <w:szCs w:val="24"/>
          <w:shd w:val="clear" w:color="auto" w:fill="auto"/>
          <w:lang w:val="ru-RU" w:eastAsia="ru-RU" w:bidi="ru-RU"/>
        </w:rPr>
        <w:t>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25"/>
        </w:numPr>
        <w:shd w:val="clear" w:color="auto" w:fill="auto"/>
        <w:tabs>
          <w:tab w:pos="108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закупках)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закупках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5"/>
        </w:numPr>
        <w:shd w:val="clear" w:color="auto" w:fill="auto"/>
        <w:tabs>
          <w:tab w:pos="108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5"/>
        </w:numPr>
        <w:shd w:val="clear" w:color="auto" w:fill="auto"/>
        <w:tabs>
          <w:tab w:pos="108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pPr>
        <w:pStyle w:val="Style13"/>
        <w:keepNext w:val="0"/>
        <w:keepLines w:val="0"/>
        <w:widowControl w:val="0"/>
        <w:numPr>
          <w:ilvl w:val="0"/>
          <w:numId w:val="25"/>
        </w:numPr>
        <w:shd w:val="clear" w:color="auto" w:fill="auto"/>
        <w:tabs>
          <w:tab w:pos="108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pPr>
        <w:pStyle w:val="Style13"/>
        <w:keepNext w:val="0"/>
        <w:keepLines w:val="0"/>
        <w:widowControl w:val="0"/>
        <w:numPr>
          <w:ilvl w:val="0"/>
          <w:numId w:val="25"/>
        </w:numPr>
        <w:shd w:val="clear" w:color="auto" w:fill="auto"/>
        <w:tabs>
          <w:tab w:pos="108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25"/>
        </w:numPr>
        <w:shd w:val="clear" w:color="auto" w:fill="auto"/>
        <w:tabs>
          <w:tab w:pos="108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25"/>
        </w:numPr>
        <w:shd w:val="clear" w:color="auto" w:fill="auto"/>
        <w:tabs>
          <w:tab w:pos="182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предусмотренных ч. 6 ст. 45 Закона о закупках;</w:t>
      </w:r>
    </w:p>
    <w:p>
      <w:pPr>
        <w:pStyle w:val="Style13"/>
        <w:keepNext w:val="0"/>
        <w:keepLines w:val="0"/>
        <w:widowControl w:val="0"/>
        <w:numPr>
          <w:ilvl w:val="0"/>
          <w:numId w:val="25"/>
        </w:numPr>
        <w:shd w:val="clear" w:color="auto" w:fill="auto"/>
        <w:tabs>
          <w:tab w:pos="182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ч. 1 ст. 27 Закона о закупках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Законом о закупках, не допускается.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извещением о проведении закупки № 0356500001424009190 объектом закупки является строительство автодороги от перекрестка улиц 8 Марта - Ивачева в г. Усолье до ул. Ивана Дощеникова в г. Березники.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Также согласно извещению о закупки Заказчиком, Уполномоченным учреждением установлены дополнительные требования в соответствии с п. 17 раздела 3 приложения к ПП РФ № 2571.</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Из анализа заявки Заявителя установлено, что в качестве подтверждения соответствия </w:t>
      </w:r>
      <w:r>
        <w:rPr>
          <w:color w:val="000000"/>
          <w:spacing w:val="0"/>
          <w:w w:val="100"/>
          <w:position w:val="0"/>
          <w:sz w:val="24"/>
          <w:szCs w:val="24"/>
          <w:shd w:val="clear" w:color="auto" w:fill="auto"/>
          <w:lang w:val="ru-RU" w:eastAsia="ru-RU" w:bidi="ru-RU"/>
        </w:rPr>
        <w:t>дополнительным требованиям по п. 17 раздела 3 приложения к ПП РФ № 2571 была приложена копия следующего контракта/договора: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гражданско-правовой договор бюджетного учреждения № 88-20-р от 14.05.2020 г. (далее также договор № 88-20-р от 14.05.2020 г.) на выполнение работ по ремонту региональной автомобильной дороги общего пользования «Усолье - Сороковая» км 1+770 - км 34+628 в Пермском крае, заключенный между ООО «Уралстройсервис» и КГБУ «Управление автомобильных дорог и транспорта» Пермского края (реестровая запись контракта № 2590219293420000056). Согласно п. 3.1 договора цена договора составляет 123 056 364,32 руб. (дополнительным соглашением № 1 от 04.12.2020 г. цена договора были изменена и стала составлять 122 442 566,72 руб). К договору также приложено дополнительное соглашение № 1 от 04.12.2020 г., акт о приемке выполненных работ по форме КС-2 № 1, 2 от 17.08.2020 г., № 3 от 28.12.2020 г., справки о стоимости выполненных работ по форме КС-3 № 1, 2 от 17.08.2020 г., № 3 от 28.12.2020 г., акт приемочной комиссии по приемке законченного ремонтом объекта от 30.10.2020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реестровой записью контракта № 2590219293420000056 гражданско- правовой договор бюджетного учреждения № 88-20-р от 14.05.2020 г. является исполненным на сумму 122 442 566,72 руб.</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согласно разделу 4 приложения к договору в состав работ по договору № 88-20-р от 14.05.2020 г. входят следующие работы:</w:t>
      </w:r>
    </w:p>
    <w:p>
      <w:pPr>
        <w:pStyle w:val="Style13"/>
        <w:keepNext w:val="0"/>
        <w:keepLines w:val="0"/>
        <w:widowControl w:val="0"/>
        <w:numPr>
          <w:ilvl w:val="0"/>
          <w:numId w:val="27"/>
        </w:numPr>
        <w:shd w:val="clear" w:color="auto" w:fill="auto"/>
        <w:tabs>
          <w:tab w:pos="10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подготовительные работы;</w:t>
      </w:r>
    </w:p>
    <w:p>
      <w:pPr>
        <w:pStyle w:val="Style13"/>
        <w:keepNext w:val="0"/>
        <w:keepLines w:val="0"/>
        <w:widowControl w:val="0"/>
        <w:numPr>
          <w:ilvl w:val="0"/>
          <w:numId w:val="27"/>
        </w:numPr>
        <w:shd w:val="clear" w:color="auto" w:fill="auto"/>
        <w:tabs>
          <w:tab w:pos="104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ремонт участков, разрушенных вследствие пучинообразования;</w:t>
      </w:r>
    </w:p>
    <w:p>
      <w:pPr>
        <w:pStyle w:val="Style13"/>
        <w:keepNext w:val="0"/>
        <w:keepLines w:val="0"/>
        <w:widowControl w:val="0"/>
        <w:numPr>
          <w:ilvl w:val="0"/>
          <w:numId w:val="27"/>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ремонт асфальтобетонного покрытия проезжей части и съездов;</w:t>
      </w:r>
    </w:p>
    <w:p>
      <w:pPr>
        <w:pStyle w:val="Style13"/>
        <w:keepNext w:val="0"/>
        <w:keepLines w:val="0"/>
        <w:widowControl w:val="0"/>
        <w:numPr>
          <w:ilvl w:val="0"/>
          <w:numId w:val="27"/>
        </w:numPr>
        <w:shd w:val="clear" w:color="auto" w:fill="auto"/>
        <w:tabs>
          <w:tab w:pos="103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замена дорожных конструкций (барьерное ограждение) непригодных для дальнейшего использования вследствие полной или частичной утраты потребительских свойств, монтаж нового оцинкованного барьерного ограждения;</w:t>
      </w:r>
    </w:p>
    <w:p>
      <w:pPr>
        <w:pStyle w:val="Style13"/>
        <w:keepNext w:val="0"/>
        <w:keepLines w:val="0"/>
        <w:widowControl w:val="0"/>
        <w:numPr>
          <w:ilvl w:val="0"/>
          <w:numId w:val="27"/>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расчистка откосов земляного полотна и полосы отвода от кустарников и мелколесья;</w:t>
      </w:r>
    </w:p>
    <w:p>
      <w:pPr>
        <w:pStyle w:val="Style13"/>
        <w:keepNext w:val="0"/>
        <w:keepLines w:val="0"/>
        <w:widowControl w:val="0"/>
        <w:numPr>
          <w:ilvl w:val="0"/>
          <w:numId w:val="27"/>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восстановление профиля водоотводных канав;</w:t>
      </w:r>
    </w:p>
    <w:p>
      <w:pPr>
        <w:pStyle w:val="Style13"/>
        <w:keepNext w:val="0"/>
        <w:keepLines w:val="0"/>
        <w:widowControl w:val="0"/>
        <w:numPr>
          <w:ilvl w:val="0"/>
          <w:numId w:val="27"/>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нанесение горизонтальной дорожной разметки.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14.3 ст. 1 ГрК РФ под капитальным ремонтом линейных объектов понимается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ГрК РФ.</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абзацем 19, 43 п. 7 ст. 2 «ТР ТС 014/2011. Технический регламент Таможенного союза. Безопасность автомобильных дорог» принятому Решением Комиссии Таможенного союза от 18.10.2011 г. № 827 «О принятии технического регламента Таможенного союза «Безопасность автомобильных дорог» под капитальным ремонтом автомобильной дороги понимается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 и ее геометрические элементы. Под «текущим ремонтом автомобильной дороги» понимается комплекс работ по восстановлению транспортно-эксплуатационных характеристик автомобильной дороги, при выполнении которых </w:t>
      </w:r>
      <w:r>
        <w:rPr>
          <w:color w:val="000000"/>
          <w:spacing w:val="0"/>
          <w:w w:val="100"/>
          <w:position w:val="0"/>
          <w:sz w:val="24"/>
          <w:szCs w:val="24"/>
          <w:shd w:val="clear" w:color="auto" w:fill="auto"/>
          <w:lang w:val="ru-RU" w:eastAsia="ru-RU" w:bidi="ru-RU"/>
        </w:rPr>
        <w:t>не затрагиваются конструктивные и иные характеристики надежности и безопасности автомобильной дороги.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Приказом Минтранса России от 16.11.2012 г. № 402 «Об утверждении Классификации работ по капитальному ремонту, ремонту и содержанию автомобильных дорог» (далее - приказ № 402) утверждена классификация работ по капитальному ремонту, ремонту и содержанию автомобильных дорог.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в п. 5 приказа № 402 перечислены работы, выполняемые в рамках ремонта автомобильных дорог, в частности:</w:t>
      </w:r>
    </w:p>
    <w:p>
      <w:pPr>
        <w:pStyle w:val="Style13"/>
        <w:keepNext w:val="0"/>
        <w:keepLines w:val="0"/>
        <w:widowControl w:val="0"/>
        <w:numPr>
          <w:ilvl w:val="0"/>
          <w:numId w:val="29"/>
        </w:numPr>
        <w:shd w:val="clear" w:color="auto" w:fill="auto"/>
        <w:tabs>
          <w:tab w:pos="9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ремонт размытых и разрушенных участков автомобильных дорог, в том числе вследствие пучинообразования и оползневых явлений;</w:t>
      </w:r>
    </w:p>
    <w:p>
      <w:pPr>
        <w:pStyle w:val="Style13"/>
        <w:keepNext w:val="0"/>
        <w:keepLines w:val="0"/>
        <w:widowControl w:val="0"/>
        <w:numPr>
          <w:ilvl w:val="0"/>
          <w:numId w:val="29"/>
        </w:numPr>
        <w:shd w:val="clear" w:color="auto" w:fill="auto"/>
        <w:tabs>
          <w:tab w:pos="9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восстановление дренажных, защитных и укрепительных устройств, отдельных звеньев прикромочных и телескопических лотков, быстротоков и водобойных колодцев, перепадов, подводящих и отводящих русел у мостов и труб, ливневой канализации;</w:t>
      </w:r>
    </w:p>
    <w:p>
      <w:pPr>
        <w:pStyle w:val="Style13"/>
        <w:keepNext w:val="0"/>
        <w:keepLines w:val="0"/>
        <w:widowControl w:val="0"/>
        <w:numPr>
          <w:ilvl w:val="0"/>
          <w:numId w:val="29"/>
        </w:numPr>
        <w:shd w:val="clear" w:color="auto" w:fill="auto"/>
        <w:tabs>
          <w:tab w:pos="9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полная замена слоев дорожного покрытия, восстановление изношенных покрытий, в том числе методами термопрофилирования или холодной регенерации с добавлением органических и неорганических материалов, обеспечивающими повторное использование материала старого покрытия; использование армирующих и трещинопрерывающих материалов при восстановлении изношенных покрытий;</w:t>
      </w:r>
    </w:p>
    <w:p>
      <w:pPr>
        <w:pStyle w:val="Style13"/>
        <w:keepNext w:val="0"/>
        <w:keepLines w:val="0"/>
        <w:widowControl w:val="0"/>
        <w:numPr>
          <w:ilvl w:val="0"/>
          <w:numId w:val="29"/>
        </w:numPr>
        <w:shd w:val="clear" w:color="auto" w:fill="auto"/>
        <w:tabs>
          <w:tab w:pos="9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нанесение временной разметки на период ремонта, удаление временной разметки и нанесение постоянной разметки после завершения ремонта;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целях всестороннего, полного и объективного рассмотрения доводов жалобы, Комиссией в адрес АСРО «Гильдия Пермских строителей», КГБУ «Управление автомобильных дорог и транспорта» Пермского края были направлены запросы (исх.№ 544/25 от 24.01.2025 г., исх.№ 545/25 от 24.01.2025 г., соответственно).</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ответе АСРО «Гильдия Пермских строителей» (вх.№ 1006-ЭП/25 от 27.01.2025 г.) указала, что результате анализа гражданско-правового договора бюджетного учреждения № 88- 20</w:t>
        <w:softHyphen/>
        <w:t>р от 14.05.2020 г., КС-2,3 №1,2 от 17.08.2020 г., КС-2,3 №3 от 28.12.2020 г., акта приёмки законченных работ установлено, что обозначенные работы в рамках договора № 88- 20-р от 14.05.2020 г. предполагают выполнение следующих работ:</w:t>
      </w:r>
    </w:p>
    <w:p>
      <w:pPr>
        <w:pStyle w:val="Style13"/>
        <w:keepNext w:val="0"/>
        <w:keepLines w:val="0"/>
        <w:widowControl w:val="0"/>
        <w:numPr>
          <w:ilvl w:val="0"/>
          <w:numId w:val="29"/>
        </w:numPr>
        <w:shd w:val="clear" w:color="auto" w:fill="auto"/>
        <w:tabs>
          <w:tab w:pos="9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Срезка поверхностного слоя асфальтобетонных дорожных покрытий с применением импортных фрез при ширине фрезерования до 2200 мм, толщина слоя до 5 см (п.29, поз. по смете. КС-2 от 28.12.2020г.), что соответствует пп. «г» п. 2 ч. 5 Раздела III приказа № 402;</w:t>
      </w:r>
    </w:p>
    <w:p>
      <w:pPr>
        <w:pStyle w:val="Style13"/>
        <w:keepNext w:val="0"/>
        <w:keepLines w:val="0"/>
        <w:widowControl w:val="0"/>
        <w:numPr>
          <w:ilvl w:val="0"/>
          <w:numId w:val="29"/>
        </w:numPr>
        <w:shd w:val="clear" w:color="auto" w:fill="auto"/>
        <w:tabs>
          <w:tab w:pos="9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Ремонт участков, разрушенных в следствии пучинообразавония (п.8-28, поз. по смете. КС- 2 от 28.12.2020г.), что соответствует пп. «а» п. 1 ч. 5 Раздела III приказа № 402;</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Сопутствующие работы, указанные в актах выполненных работ по форме КС-2, №1,2 от 17.08.2020 г., КС-2, №3 от 28.12.2020 г. такие как, установка (демонтаж) временных дорожных знаков, восстановления профиля водоотводных канав, устройство барьерного ограждения, нанесение горизонтальной дорожной разметки укрепление обочин также поименованы в Разделе III классификации работ по ремонту автомобильных дорог Приказа № 402. Совокупность перечисленных работ в целом соответствует выполнению работ по ремонту автомобильной дороги.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ответе на запрос КГБУ «Управление автомобильных дорог и транспорта» Пермского края (вх.№ 988-ЭП/25 от 27.01.2025 г.) указало, что работы по договору № 88-20-р от 14.05.2020 г. являются работами по ремонту автомобильной дороги.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указанного выше, Комиссия пришла к выводу, что представленный</w:t>
      </w:r>
      <w:r>
        <w:br w:type="page"/>
      </w:r>
    </w:p>
    <w:p>
      <w:pPr>
        <w:pStyle w:val="Style13"/>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Заявителем гражданско-правовой договор бюджетного учреждения № 88-20-р от 14.05.2020 г. не соответствует дополнительным требованиям извещения, установленным в соответствии с п. 17 раздела 3 ПП РФ № 2571.</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действиях Конкурсной комиссии, отклонившей заявку Заявителя, нарушений положений Закона о закупках не имеется.</w:t>
      </w:r>
    </w:p>
    <w:p>
      <w:pPr>
        <w:pStyle w:val="Style13"/>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5"/>
        <w:keepNext/>
        <w:keepLines/>
        <w:widowControl w:val="0"/>
        <w:shd w:val="clear" w:color="auto" w:fill="auto"/>
        <w:bidi w:val="0"/>
        <w:spacing w:before="0" w:after="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ООО «Уралстройсервис» на действия комиссии ГКУ ПК «Центр организации закупок» при проведении открытого конкурса в электронной форме на строительство автодороги от перекрестка улиц 8 Марта - Ивачева в г. Усолье до ул. Ивана Дощеникова в г. Березники (изв.№ 0356500001424009190) необоснованной.</w:t>
      </w:r>
    </w:p>
    <w:p>
      <w:pPr>
        <w:pStyle w:val="Style13"/>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27" w:right="542" w:bottom="1270" w:left="1105" w:header="0" w:footer="3" w:gutter="0"/>
          <w:cols w:space="720"/>
          <w:noEndnote/>
          <w:rtlGutter w:val="0"/>
          <w:docGrid w:linePitch="360"/>
        </w:sectPr>
      </w:pPr>
      <w:r>
        <mc:AlternateContent>
          <mc:Choice Requires="wps">
            <w:drawing>
              <wp:anchor distT="0" distB="396240" distL="0" distR="0" simplePos="0" relativeHeight="125829379" behindDoc="0" locked="0" layoutInCell="1" allowOverlap="1">
                <wp:simplePos x="0" y="0"/>
                <wp:positionH relativeFrom="page">
                  <wp:posOffset>739775</wp:posOffset>
                </wp:positionH>
                <wp:positionV relativeFrom="paragraph">
                  <wp:posOffset>0</wp:posOffset>
                </wp:positionV>
                <wp:extent cx="1667510" cy="191770"/>
                <wp:wrapTopAndBottom/>
                <wp:docPr id="8" name="Shape 8"/>
                <a:graphic xmlns:a="http://schemas.openxmlformats.org/drawingml/2006/main">
                  <a:graphicData uri="http://schemas.microsoft.com/office/word/2010/wordprocessingShape">
                    <wps:wsp>
                      <wps:cNvSpPr txBox="1"/>
                      <wps:spPr>
                        <a:xfrm>
                          <a:ext cx="1667510" cy="1917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25pt;margin-top:0;width:131.30000000000001pt;height:15.1pt;z-index:-125829374;mso-wrap-distance-left:0;mso-wrap-distance-right:0;mso-wrap-distance-bottom:31.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52070" distB="0" distL="0" distR="1786255" simplePos="0" relativeHeight="125829381" behindDoc="0" locked="0" layoutInCell="1" allowOverlap="1">
            <wp:simplePos x="0" y="0"/>
            <wp:positionH relativeFrom="page">
              <wp:posOffset>2660015</wp:posOffset>
            </wp:positionH>
            <wp:positionV relativeFrom="paragraph">
              <wp:posOffset>52070</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454660</wp:posOffset>
                </wp:positionV>
                <wp:extent cx="1283335" cy="103505"/>
                <wp:wrapNone/>
                <wp:docPr id="12" name="Shape 1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45000000000002pt;margin-top:35.800000000000004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143510</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0" type="#_x0000_t202" style="position:absolute;margin-left:242.09999999999999pt;margin-top:11.300000000000001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94945" distB="170815" distL="0" distR="0" simplePos="0" relativeHeight="125829382" behindDoc="0" locked="0" layoutInCell="1" allowOverlap="1">
                <wp:simplePos x="0" y="0"/>
                <wp:positionH relativeFrom="page">
                  <wp:posOffset>6326505</wp:posOffset>
                </wp:positionH>
                <wp:positionV relativeFrom="paragraph">
                  <wp:posOffset>194945</wp:posOffset>
                </wp:positionV>
                <wp:extent cx="862330" cy="222250"/>
                <wp:wrapTopAndBottom/>
                <wp:docPr id="16" name="Shape 16"/>
                <a:graphic xmlns:a="http://schemas.openxmlformats.org/drawingml/2006/main">
                  <a:graphicData uri="http://schemas.microsoft.com/office/word/2010/wordprocessingShape">
                    <wps:wsp>
                      <wps:cNvSpPr txBox="1"/>
                      <wps:spPr>
                        <a:xfrm>
                          <a:ext cx="86233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А.Н. Белова</w:t>
                            </w:r>
                          </w:p>
                        </w:txbxContent>
                      </wps:txbx>
                      <wps:bodyPr wrap="none" lIns="0" tIns="0" rIns="0" bIns="0">
                        <a:noAutoFit/>
                      </wps:bodyPr>
                    </wps:wsp>
                  </a:graphicData>
                </a:graphic>
              </wp:anchor>
            </w:drawing>
          </mc:Choice>
          <mc:Fallback>
            <w:pict>
              <v:shape id="_x0000_s1042" type="#_x0000_t202" style="position:absolute;margin-left:498.15000000000003pt;margin-top:15.35pt;width:67.900000000000006pt;height:17.5pt;z-index:-125829371;mso-wrap-distance-left:0;mso-wrap-distance-top:15.35pt;mso-wrap-distance-right:0;mso-wrap-distance-bottom:13.4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А.Н. Белова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Белова Анастасия Николаевна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56565"/>
          <w:spacing w:val="0"/>
          <w:w w:val="100"/>
          <w:position w:val="0"/>
          <w:shd w:val="clear" w:color="auto" w:fill="auto"/>
          <w:lang w:val="ru-RU" w:eastAsia="ru-RU" w:bidi="ru-RU"/>
        </w:rPr>
        <w:t xml:space="preserve">516ЭВВА88ААС1 </w:t>
      </w:r>
      <w:r>
        <w:rPr>
          <w:spacing w:val="0"/>
          <w:w w:val="100"/>
          <w:position w:val="0"/>
          <w:shd w:val="clear" w:color="auto" w:fill="auto"/>
          <w:lang w:val="ru-RU" w:eastAsia="ru-RU" w:bidi="ru-RU"/>
        </w:rPr>
        <w:t>ОВЕ2С8ВЕВ945С6ЕОВ13</w:t>
      </w:r>
    </w:p>
    <w:p>
      <w:pPr>
        <w:pStyle w:val="Style23"/>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1F1F1F"/>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19.08.2024 </w:t>
      </w:r>
      <w:r>
        <w:rPr>
          <w:color w:val="868686"/>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12.11.2025</w:t>
      </w:r>
    </w:p>
    <w:p>
      <w:pPr>
        <w:pStyle w:val="Style13"/>
        <w:keepNext w:val="0"/>
        <w:keepLines w:val="0"/>
        <w:widowControl w:val="0"/>
        <w:shd w:val="clear" w:color="auto" w:fill="auto"/>
        <w:bidi w:val="0"/>
        <w:spacing w:before="0" w:after="10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2660015</wp:posOffset>
            </wp:positionH>
            <wp:positionV relativeFrom="paragraph">
              <wp:posOffset>63500</wp:posOffset>
            </wp:positionV>
            <wp:extent cx="353695" cy="536575"/>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466090</wp:posOffset>
                </wp:positionV>
                <wp:extent cx="1283335" cy="103505"/>
                <wp:wrapNone/>
                <wp:docPr id="20" name="Shape 20"/>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45.45000000000002pt;margin-top:36.70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154940</wp:posOffset>
                </wp:positionV>
                <wp:extent cx="1722120" cy="255905"/>
                <wp:wrapNone/>
                <wp:docPr id="22" name="Shape 2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8" type="#_x0000_t202" style="position:absolute;margin-left:242.09999999999999pt;margin-top:12.20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b/>
          <w:bCs/>
          <w:color w:val="000000"/>
          <w:spacing w:val="0"/>
          <w:w w:val="100"/>
          <w:position w:val="0"/>
          <w:sz w:val="24"/>
          <w:szCs w:val="24"/>
          <w:shd w:val="clear" w:color="auto" w:fill="auto"/>
          <w:lang w:val="ru-RU" w:eastAsia="ru-RU" w:bidi="ru-RU"/>
        </w:rPr>
        <w:t>М.Е. Качин</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Качин Матвей Егорович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79АВ84Е792О7423Е9295С0АОО95ЭС7Е7</w:t>
      </w:r>
    </w:p>
    <w:p>
      <w:pPr>
        <w:pStyle w:val="Style23"/>
        <w:keepNext w:val="0"/>
        <w:keepLines w:val="0"/>
        <w:widowControl w:val="0"/>
        <w:shd w:val="clear" w:color="auto" w:fill="auto"/>
        <w:bidi w:val="0"/>
        <w:spacing w:before="0" w:after="580" w:line="240" w:lineRule="auto"/>
        <w:ind w:right="0" w:firstLine="0"/>
        <w:jc w:val="left"/>
      </w:pPr>
      <w:r>
        <mc:AlternateContent>
          <mc:Choice Requires="wps">
            <w:drawing>
              <wp:anchor distT="0" distB="0" distL="114300" distR="114300" simplePos="0" relativeHeight="125829385" behindDoc="0" locked="0" layoutInCell="1" allowOverlap="1">
                <wp:simplePos x="0" y="0"/>
                <wp:positionH relativeFrom="page">
                  <wp:posOffset>6097905</wp:posOffset>
                </wp:positionH>
                <wp:positionV relativeFrom="paragraph">
                  <wp:posOffset>304800</wp:posOffset>
                </wp:positionV>
                <wp:extent cx="1088390" cy="222250"/>
                <wp:wrapSquare wrapText="left"/>
                <wp:docPr id="24" name="Shape 24"/>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М.А. Журавлев</w:t>
                            </w:r>
                          </w:p>
                        </w:txbxContent>
                      </wps:txbx>
                      <wps:bodyPr wrap="none" lIns="0" tIns="0" rIns="0" bIns="0">
                        <a:noAutoFit/>
                      </wps:bodyPr>
                    </wps:wsp>
                  </a:graphicData>
                </a:graphic>
              </wp:anchor>
            </w:drawing>
          </mc:Choice>
          <mc:Fallback>
            <w:pict>
              <v:shape id="_x0000_s1050" type="#_x0000_t202" style="position:absolute;margin-left:480.15000000000003pt;margin-top:24.pt;width:85.700000000000003pt;height:17.5pt;z-index:-125829368;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М.А. Журавлев</w:t>
                      </w:r>
                    </w:p>
                  </w:txbxContent>
                </v:textbox>
                <w10:wrap type="square" side="left" anchorx="page"/>
              </v:shape>
            </w:pict>
          </mc:Fallback>
        </mc:AlternateContent>
      </w:r>
      <w:r>
        <w:rPr>
          <w:color w:val="656565"/>
          <w:spacing w:val="0"/>
          <w:w w:val="100"/>
          <w:position w:val="0"/>
          <w:shd w:val="clear" w:color="auto" w:fill="auto"/>
          <w:lang w:val="ru-RU" w:eastAsia="ru-RU" w:bidi="ru-RU"/>
        </w:rPr>
        <w:t xml:space="preserve">Действителен с 09.01.2024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03.04.2025</w:t>
      </w:r>
    </w:p>
    <w:p>
      <w:pPr>
        <w:pStyle w:val="Style30"/>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color w:val="E6E6E6"/>
          <w:spacing w:val="0"/>
          <w:w w:val="100"/>
          <w:position w:val="0"/>
          <w:sz w:val="12"/>
          <w:szCs w:val="12"/>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86868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3"/>
        <w:keepNext w:val="0"/>
        <w:keepLines w:val="0"/>
        <w:widowControl w:val="0"/>
        <w:shd w:val="clear" w:color="auto" w:fill="auto"/>
        <w:bidi w:val="0"/>
        <w:spacing w:before="0" w:after="304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31.07.2024 </w:t>
      </w:r>
      <w:r>
        <w:rPr>
          <w:color w:val="868686"/>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24.10.2025</w:t>
      </w:r>
    </w:p>
    <w:p>
      <w:pPr>
        <w:pStyle w:val="Style13"/>
        <w:keepNext w:val="0"/>
        <w:keepLines w:val="0"/>
        <w:widowControl w:val="0"/>
        <w:shd w:val="clear" w:color="auto" w:fill="auto"/>
        <w:bidi w:val="0"/>
        <w:spacing w:before="0" w:after="60" w:line="240" w:lineRule="auto"/>
        <w:ind w:left="0" w:right="8340" w:firstLine="0"/>
        <w:jc w:val="righ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10170160</wp:posOffset>
              </wp:positionV>
              <wp:extent cx="572770" cy="100330"/>
              <wp:wrapNone/>
              <wp:docPr id="2" name="Shape 2"/>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950000000000003pt;margin-top:800.80000000000007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4" name="Shape 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wps:txbx>
                    <wps:bodyPr wrap="none" lIns="0" tIns="0" rIns="0" bIns="0">
                      <a:spAutoFit/>
                    </wps:bodyPr>
                  </wps:wsp>
                </a:graphicData>
              </a:graphic>
            </wp:anchor>
          </w:drawing>
        </mc:Choice>
        <mc:Fallback>
          <w:pict>
            <v:shape id="_x0000_s1030"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1F1F1F"/>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04040"/>
      <w:sz w:val="12"/>
      <w:szCs w:val="12"/>
      <w:u w:val="none"/>
    </w:rPr>
  </w:style>
  <w:style w:type="character" w:customStyle="1" w:styleId="CharStyle31">
    <w:name w:val="Основной текст (4)_"/>
    <w:basedOn w:val="DefaultParagraphFont"/>
    <w:link w:val="Style30"/>
    <w:rPr>
      <w:rFonts w:ascii="Georgia" w:eastAsia="Georgia" w:hAnsi="Georgia" w:cs="Georgia"/>
      <w:b w:val="0"/>
      <w:bCs w:val="0"/>
      <w:i w:val="0"/>
      <w:iCs w:val="0"/>
      <w:smallCaps w:val="0"/>
      <w:strike w:val="0"/>
      <w:color w:val="1F1F1F"/>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Основной текст (5)"/>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1"/>
    <w:basedOn w:val="Normal"/>
    <w:link w:val="CharStyle11"/>
    <w:pPr>
      <w:widowControl w:val="0"/>
      <w:shd w:val="clear" w:color="auto" w:fill="auto"/>
      <w:spacing w:after="320"/>
      <w:ind w:firstLine="14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2"/>
    <w:basedOn w:val="Normal"/>
    <w:link w:val="CharStyle16"/>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1F1F1F"/>
      <w:sz w:val="11"/>
      <w:szCs w:val="11"/>
      <w:u w:val="none"/>
    </w:rPr>
  </w:style>
  <w:style w:type="paragraph" w:customStyle="1" w:styleId="Style23">
    <w:name w:val="Основной текст (2)"/>
    <w:basedOn w:val="Normal"/>
    <w:link w:val="CharStyle24"/>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30">
    <w:name w:val="Основной текст (4)"/>
    <w:basedOn w:val="Normal"/>
    <w:link w:val="CharStyle31"/>
    <w:pPr>
      <w:widowControl w:val="0"/>
      <w:shd w:val="clear" w:color="auto" w:fill="auto"/>
      <w:spacing w:after="100"/>
      <w:ind w:left="3740"/>
    </w:pPr>
    <w:rPr>
      <w:rFonts w:ascii="Georgia" w:eastAsia="Georgia" w:hAnsi="Georgia" w:cs="Georgia"/>
      <w:b w:val="0"/>
      <w:bCs w:val="0"/>
      <w:i w:val="0"/>
      <w:iCs w:val="0"/>
      <w:smallCaps w:val="0"/>
      <w:strike w:val="0"/>
      <w:color w:val="1F1F1F"/>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