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Башкортостан</w:t>
      </w:r>
    </w:p>
    <w:p>
      <w:pPr>
        <w:pStyle w:val="Style5"/>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Пушкина, 95, г. Уфа, 450008</w:t>
        <w:br/>
        <w:t>тел. (347) 273-34-05, факс (347) 272-58-82</w:t>
      </w:r>
    </w:p>
    <w:p>
      <w:pPr>
        <w:pStyle w:val="Style5"/>
        <w:keepNext w:val="0"/>
        <w:keepLines w:val="0"/>
        <w:widowControl w:val="0"/>
        <w:shd w:val="clear" w:color="auto" w:fill="auto"/>
        <w:bidi w:val="0"/>
        <w:spacing w:before="0" w:after="420" w:line="269" w:lineRule="auto"/>
        <w:ind w:left="0" w:right="0" w:firstLine="0"/>
        <w:jc w:val="center"/>
      </w:pPr>
      <w:r>
        <w:rPr>
          <w:spacing w:val="0"/>
          <w:w w:val="100"/>
          <w:position w:val="0"/>
          <w:shd w:val="clear" w:color="auto" w:fill="auto"/>
          <w:lang w:val="ru-RU" w:eastAsia="ru-RU" w:bidi="ru-RU"/>
        </w:rPr>
        <w:t>е-тай: 1о02й,Га5.2о\'.ги</w:t>
      </w:r>
    </w:p>
    <w:p>
      <w:pPr>
        <w:pStyle w:val="Style8"/>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left"/>
      </w:pPr>
      <w:r>
        <w:rPr>
          <w:b w:val="0"/>
          <w:bCs w:val="0"/>
          <w:spacing w:val="0"/>
          <w:w w:val="100"/>
          <w:position w:val="0"/>
          <w:shd w:val="clear" w:color="auto" w:fill="auto"/>
          <w:lang w:val="ru-RU" w:eastAsia="ru-RU" w:bidi="ru-RU"/>
        </w:rPr>
        <w:tab/>
        <w:t xml:space="preserve"> №</w:t>
        <w:tab/>
      </w:r>
    </w:p>
    <w:p>
      <w:pPr>
        <w:pStyle w:val="Style8"/>
        <w:keepNext w:val="0"/>
        <w:keepLines w:val="0"/>
        <w:widowControl w:val="0"/>
        <w:shd w:val="clear" w:color="auto" w:fill="auto"/>
        <w:bidi w:val="0"/>
        <w:spacing w:before="0" w:after="620" w:line="240" w:lineRule="auto"/>
        <w:ind w:left="0" w:right="0" w:firstLine="0"/>
        <w:jc w:val="left"/>
      </w:pPr>
      <w:r>
        <w:rPr>
          <w:b w:val="0"/>
          <w:bCs w:val="0"/>
          <w:spacing w:val="0"/>
          <w:w w:val="100"/>
          <w:position w:val="0"/>
          <w:shd w:val="clear" w:color="auto" w:fill="auto"/>
          <w:lang w:val="ru-RU" w:eastAsia="ru-RU" w:bidi="ru-RU"/>
        </w:rPr>
        <w:t xml:space="preserve">На№  от</w:t>
      </w:r>
    </w:p>
    <w:p>
      <w:pPr>
        <w:pStyle w:val="Style1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"ОМНИМЕД"</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117312, г. Москва, вн.тер.г. МО Академический , пр-кт 60-летия</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Октября, д. 9, стр. 2, подв. помещ. I, комн. 09</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отштед@Ък.ш</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Отделение фонда пенсионного и социального страхования РФ по</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Республике Башкортостан</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450008 Республика Башкортостан, г.Уфа, ул. Заки Валиди, 55</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1епдег@002.рГг.ги тГо@()2.^Гг.до\\П1 шГо@го2.Г88.ш 18г@го2.Га88.ги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"РТС- ТЕНДЕР"</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121151, г. Москва, наб. Тараса</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Шевченко, д. 23А, 25 этаж, помещение 1</w:t>
      </w:r>
    </w:p>
    <w:p>
      <w:pPr>
        <w:pStyle w:val="Style14"/>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796" w:bottom="1236" w:left="1140" w:header="0" w:footer="3" w:gutter="0"/>
          <w:pgNumType w:start="1"/>
          <w:cols w:num="2" w:space="720" w:equalWidth="0">
            <w:col w:w="4061" w:space="1205"/>
            <w:col w:w="4699"/>
          </w:cols>
          <w:noEndnote/>
          <w:titlePg/>
          <w:rtlGutter w:val="0"/>
          <w:docGrid w:linePitch="360"/>
        </w:sectPr>
      </w:pPr>
      <w:r>
        <w:rPr>
          <w:color w:val="000000"/>
          <w:spacing w:val="0"/>
          <w:w w:val="100"/>
          <w:position w:val="0"/>
          <w:shd w:val="clear" w:color="auto" w:fill="auto"/>
          <w:lang w:val="ru-RU" w:eastAsia="ru-RU" w:bidi="ru-RU"/>
        </w:rPr>
        <w:t>ко@г18-1епдег.ги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01" w:right="0" w:bottom="1218" w:left="0" w:header="0" w:footer="3" w:gutter="0"/>
          <w:cols w:space="720"/>
          <w:noEndnote/>
          <w:rtlGutter w:val="0"/>
          <w:docGrid w:linePitch="360"/>
        </w:sectPr>
      </w:pP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 № ТО002/06/106-49/2025</w:t>
      </w:r>
    </w:p>
    <w:p>
      <w:pPr>
        <w:pStyle w:val="Style14"/>
        <w:keepNext w:val="0"/>
        <w:keepLines w:val="0"/>
        <w:widowControl w:val="0"/>
        <w:shd w:val="clear" w:color="auto" w:fill="auto"/>
        <w:bidi w:val="0"/>
        <w:spacing w:before="0" w:after="280" w:line="240" w:lineRule="auto"/>
        <w:ind w:left="0" w:right="140" w:firstLine="0"/>
        <w:jc w:val="right"/>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12700</wp:posOffset>
                </wp:positionV>
                <wp:extent cx="1530350" cy="252730"/>
                <wp:wrapSquare wrapText="right"/>
                <wp:docPr id="6" name="Shape 6"/>
                <a:graphic xmlns:a="http://schemas.openxmlformats.org/drawingml/2006/main">
                  <a:graphicData uri="http://schemas.microsoft.com/office/word/2010/wordprocessingShape">
                    <wps:wsp>
                      <wps:cNvSpPr txBox="1"/>
                      <wps:spPr>
                        <a:xfrm>
                          <a:ext cx="153035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24 января 2025 года</w:t>
                            </w:r>
                          </w:p>
                        </w:txbxContent>
                      </wps:txbx>
                      <wps:bodyPr wrap="none" lIns="0" tIns="0" rIns="0" bIns="0">
                        <a:noAutoFit/>
                      </wps:bodyPr>
                    </wps:wsp>
                  </a:graphicData>
                </a:graphic>
              </wp:anchor>
            </w:drawing>
          </mc:Choice>
          <mc:Fallback>
            <w:pict>
              <v:shape id="_x0000_s1032" type="#_x0000_t202" style="position:absolute;margin-left:55.550000000000004pt;margin-top:1.pt;width:120.5pt;height:19.900000000000002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24 января 2025 года</w:t>
                      </w:r>
                    </w:p>
                  </w:txbxContent>
                </v:textbox>
                <w10:wrap type="square" side="right" anchorx="page"/>
              </v:shape>
            </w:pict>
          </mc:Fallback>
        </mc:AlternateContent>
      </w:r>
      <w:r>
        <w:rPr>
          <w:color w:val="000000"/>
          <w:spacing w:val="0"/>
          <w:w w:val="100"/>
          <w:position w:val="0"/>
          <w:shd w:val="clear" w:color="auto" w:fill="auto"/>
          <w:lang w:val="ru-RU" w:eastAsia="ru-RU" w:bidi="ru-RU"/>
        </w:rPr>
        <w:t>г. Уфа, ул. Пушкина, 95</w:t>
      </w:r>
    </w:p>
    <w:p>
      <w:pPr>
        <w:pStyle w:val="Style14"/>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Башкортостан по контролю в сфере закупок в составе:</w:t>
      </w:r>
    </w:p>
    <w:p>
      <w:pPr>
        <w:pStyle w:val="Style14"/>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Председатель Комиссии - заместитель начальника отдела контроля закупок Управления Федеральной антимонопольной службы по Республике - Арсланов А.А.;</w:t>
      </w:r>
    </w:p>
    <w:p>
      <w:pPr>
        <w:pStyle w:val="Style14"/>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главный специалист отдела контроля закупок Управления Федеральной антимонопольной службы по Республике - Ларшутин Р.С.</w:t>
      </w:r>
    </w:p>
    <w:p>
      <w:pPr>
        <w:pStyle w:val="Style14"/>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специалист 1 разряда отдела контроля закупок Управления Федеральной антимонопольной службы по Республике Башкортостан - Радина З.С.</w:t>
      </w:r>
    </w:p>
    <w:p>
      <w:pPr>
        <w:pStyle w:val="Style14"/>
        <w:keepNext w:val="0"/>
        <w:keepLines w:val="0"/>
        <w:widowControl w:val="0"/>
        <w:shd w:val="clear" w:color="auto" w:fill="auto"/>
        <w:bidi w:val="0"/>
        <w:spacing w:before="0" w:after="660" w:line="240" w:lineRule="auto"/>
        <w:ind w:left="0" w:right="0" w:firstLine="880"/>
        <w:jc w:val="both"/>
      </w:pPr>
      <w:r>
        <w:rPr>
          <w:color w:val="000000"/>
          <w:spacing w:val="0"/>
          <w:w w:val="100"/>
          <w:position w:val="0"/>
          <w:shd w:val="clear" w:color="auto" w:fill="auto"/>
          <w:lang w:val="ru-RU" w:eastAsia="ru-RU" w:bidi="ru-RU"/>
        </w:rPr>
        <w:t>Посредством видеоконференцсвязи:</w:t>
      </w:r>
    </w:p>
    <w:p>
      <w:pPr>
        <w:pStyle w:val="Style17"/>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w:t>
      </w:r>
      <w:bookmarkEnd w:id="0"/>
    </w:p>
    <w:p>
      <w:pPr>
        <w:pStyle w:val="Style14"/>
        <w:keepNext w:val="0"/>
        <w:keepLines w:val="0"/>
        <w:widowControl w:val="0"/>
        <w:shd w:val="clear" w:color="auto" w:fill="auto"/>
        <w:bidi w:val="0"/>
        <w:spacing w:before="0" w:after="0" w:line="240" w:lineRule="auto"/>
        <w:ind w:left="0" w:right="0" w:firstLine="860"/>
        <w:jc w:val="both"/>
      </w:pPr>
      <w:r>
        <w:rPr>
          <w:b/>
          <w:bCs/>
          <w:color w:val="000000"/>
          <w:spacing w:val="0"/>
          <w:w w:val="100"/>
          <w:position w:val="0"/>
          <w:shd w:val="clear" w:color="auto" w:fill="auto"/>
          <w:lang w:val="ru-RU" w:eastAsia="ru-RU" w:bidi="ru-RU"/>
        </w:rPr>
        <w:t xml:space="preserve">Заказчик: </w:t>
      </w:r>
      <w:r>
        <w:rPr>
          <w:color w:val="000000"/>
          <w:spacing w:val="0"/>
          <w:w w:val="100"/>
          <w:position w:val="0"/>
          <w:shd w:val="clear" w:color="auto" w:fill="auto"/>
          <w:lang w:val="ru-RU" w:eastAsia="ru-RU" w:bidi="ru-RU"/>
        </w:rPr>
        <w:t>Отделение фонда пенсионного и социального страхования РФ по Республике Башкортостан</w:t>
      </w:r>
    </w:p>
    <w:p>
      <w:pPr>
        <w:pStyle w:val="Style14"/>
        <w:keepNext w:val="0"/>
        <w:keepLines w:val="0"/>
        <w:widowControl w:val="0"/>
        <w:numPr>
          <w:ilvl w:val="0"/>
          <w:numId w:val="1"/>
        </w:numPr>
        <w:shd w:val="clear" w:color="auto" w:fill="auto"/>
        <w:tabs>
          <w:tab w:pos="1132"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в присутствии представителя.</w:t>
      </w:r>
    </w:p>
    <w:p>
      <w:pPr>
        <w:pStyle w:val="Style14"/>
        <w:keepNext w:val="0"/>
        <w:keepLines w:val="0"/>
        <w:widowControl w:val="0"/>
        <w:shd w:val="clear" w:color="auto" w:fill="auto"/>
        <w:bidi w:val="0"/>
        <w:spacing w:before="0" w:after="0" w:line="240" w:lineRule="auto"/>
        <w:ind w:left="0" w:right="0" w:firstLine="860"/>
        <w:jc w:val="both"/>
      </w:pPr>
      <w:r>
        <w:rPr>
          <w:b/>
          <w:bCs/>
          <w:color w:val="000000"/>
          <w:spacing w:val="0"/>
          <w:w w:val="100"/>
          <w:position w:val="0"/>
          <w:shd w:val="clear" w:color="auto" w:fill="auto"/>
          <w:lang w:val="ru-RU" w:eastAsia="ru-RU" w:bidi="ru-RU"/>
        </w:rPr>
        <w:t xml:space="preserve">Заявитель: </w:t>
      </w:r>
      <w:r>
        <w:rPr>
          <w:color w:val="000000"/>
          <w:spacing w:val="0"/>
          <w:w w:val="100"/>
          <w:position w:val="0"/>
          <w:shd w:val="clear" w:color="auto" w:fill="auto"/>
          <w:lang w:val="ru-RU" w:eastAsia="ru-RU" w:bidi="ru-RU"/>
        </w:rPr>
        <w:t>ООО «Омнимед»</w:t>
      </w:r>
    </w:p>
    <w:p>
      <w:pPr>
        <w:pStyle w:val="Style14"/>
        <w:keepNext w:val="0"/>
        <w:keepLines w:val="0"/>
        <w:widowControl w:val="0"/>
        <w:numPr>
          <w:ilvl w:val="0"/>
          <w:numId w:val="1"/>
        </w:numPr>
        <w:shd w:val="clear" w:color="auto" w:fill="auto"/>
        <w:tabs>
          <w:tab w:pos="1132" w:val="left"/>
        </w:tabs>
        <w:bidi w:val="0"/>
        <w:spacing w:before="0" w:after="340" w:line="240" w:lineRule="auto"/>
        <w:ind w:left="0" w:right="0" w:firstLine="860"/>
        <w:jc w:val="both"/>
      </w:pPr>
      <w:r>
        <w:rPr>
          <w:color w:val="000000"/>
          <w:spacing w:val="0"/>
          <w:w w:val="100"/>
          <w:position w:val="0"/>
          <w:shd w:val="clear" w:color="auto" w:fill="auto"/>
          <w:lang w:val="ru-RU" w:eastAsia="ru-RU" w:bidi="ru-RU"/>
        </w:rPr>
        <w:t>в присутствии представителя.</w:t>
      </w:r>
    </w:p>
    <w:p>
      <w:pPr>
        <w:pStyle w:val="Style14"/>
        <w:keepNext w:val="0"/>
        <w:keepLines w:val="0"/>
        <w:widowControl w:val="0"/>
        <w:shd w:val="clear" w:color="auto" w:fill="auto"/>
        <w:bidi w:val="0"/>
        <w:spacing w:before="0" w:after="240"/>
        <w:ind w:left="0" w:right="0" w:firstLine="0"/>
        <w:jc w:val="center"/>
      </w:pPr>
      <w:r>
        <w:rPr>
          <w:b/>
          <w:bCs/>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ind w:left="0" w:right="0" w:firstLine="860"/>
        <w:jc w:val="left"/>
      </w:pPr>
      <w:r>
        <w:rPr>
          <w:color w:val="000000"/>
          <w:spacing w:val="0"/>
          <w:w w:val="100"/>
          <w:position w:val="0"/>
          <w:shd w:val="clear" w:color="auto" w:fill="auto"/>
          <w:lang w:val="ru-RU" w:eastAsia="ru-RU" w:bidi="ru-RU"/>
        </w:rPr>
        <w:t>В адрес Управления Федеральной антимонопольной службы по Республике Башкортостан поступили жалобы от ООО «Омнимед» (вх. 645/25; 646/25; 647/25; 648/25; 649/25; 650/25; 651/25; 669/25 от 20.01.2025) на действия Отделения фонда пенсионного и социального страхования РФ по Республике Башкортостан при определении поставщика путем проведения закупок № 0201100003825000001; № 0201100003825000004; № 0201100003825000005; № 0201100003825000007; № 0201100003825000008; № 0201100003825000012; № 0201100003825000013; № 0201100003825000014.</w:t>
      </w:r>
    </w:p>
    <w:p>
      <w:pPr>
        <w:pStyle w:val="Style14"/>
        <w:keepNext w:val="0"/>
        <w:keepLines w:val="0"/>
        <w:widowControl w:val="0"/>
        <w:shd w:val="clear" w:color="auto" w:fill="auto"/>
        <w:bidi w:val="0"/>
        <w:spacing w:before="0" w:after="0"/>
        <w:ind w:left="0" w:right="0" w:firstLine="860"/>
        <w:jc w:val="left"/>
      </w:pPr>
      <w:r>
        <w:rPr>
          <w:color w:val="000000"/>
          <w:spacing w:val="0"/>
          <w:w w:val="100"/>
          <w:position w:val="0"/>
          <w:shd w:val="clear" w:color="auto" w:fill="auto"/>
          <w:lang w:val="ru-RU" w:eastAsia="ru-RU" w:bidi="ru-RU"/>
        </w:rPr>
        <w:t>По мнению Заявителя, Заказчиком, Закупочной комиссией 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закупочная документация нарушает нормы действующего законодательства.</w:t>
      </w:r>
    </w:p>
    <w:p>
      <w:pPr>
        <w:pStyle w:val="Style14"/>
        <w:keepNext w:val="0"/>
        <w:keepLines w:val="0"/>
        <w:widowControl w:val="0"/>
        <w:shd w:val="clear" w:color="auto" w:fill="auto"/>
        <w:bidi w:val="0"/>
        <w:spacing w:before="0" w:after="0"/>
        <w:ind w:left="0" w:right="0" w:firstLine="860"/>
        <w:jc w:val="left"/>
      </w:pPr>
      <w:r>
        <w:rPr>
          <w:color w:val="000000"/>
          <w:spacing w:val="0"/>
          <w:w w:val="100"/>
          <w:position w:val="0"/>
          <w:shd w:val="clear" w:color="auto" w:fill="auto"/>
          <w:lang w:val="ru-RU" w:eastAsia="ru-RU" w:bidi="ru-RU"/>
        </w:rPr>
        <w:t>Жалобы поданы в соответствии с требованиями Закона о контрактной системе.</w:t>
      </w:r>
    </w:p>
    <w:p>
      <w:pPr>
        <w:pStyle w:val="Style14"/>
        <w:keepNext w:val="0"/>
        <w:keepLines w:val="0"/>
        <w:widowControl w:val="0"/>
        <w:shd w:val="clear" w:color="auto" w:fill="auto"/>
        <w:bidi w:val="0"/>
        <w:spacing w:before="0" w:after="0"/>
        <w:ind w:left="0" w:right="0" w:firstLine="860"/>
        <w:jc w:val="left"/>
      </w:pPr>
      <w:r>
        <w:rPr>
          <w:color w:val="000000"/>
          <w:spacing w:val="0"/>
          <w:w w:val="100"/>
          <w:position w:val="0"/>
          <w:shd w:val="clear" w:color="auto" w:fill="auto"/>
          <w:lang w:val="ru-RU" w:eastAsia="ru-RU" w:bidi="ru-RU"/>
        </w:rPr>
        <w:t>Информация о поступлении жалоб в соответствии с ч. 1 ст. 106 Закона о контрактной системе размещена в единой информационной системе.</w:t>
      </w:r>
    </w:p>
    <w:p>
      <w:pPr>
        <w:pStyle w:val="Style14"/>
        <w:keepNext w:val="0"/>
        <w:keepLines w:val="0"/>
        <w:widowControl w:val="0"/>
        <w:shd w:val="clear" w:color="auto" w:fill="auto"/>
        <w:tabs>
          <w:tab w:pos="1047" w:val="left"/>
          <w:tab w:pos="5510" w:val="left"/>
          <w:tab w:pos="6619" w:val="left"/>
        </w:tabs>
        <w:bidi w:val="0"/>
        <w:spacing w:before="0" w:after="0"/>
        <w:ind w:left="0" w:right="0" w:firstLine="860"/>
        <w:jc w:val="left"/>
      </w:pPr>
      <w:r>
        <w:rPr>
          <w:color w:val="000000"/>
          <w:spacing w:val="0"/>
          <w:w w:val="100"/>
          <w:position w:val="0"/>
          <w:shd w:val="clear" w:color="auto" w:fill="auto"/>
          <w:lang w:val="ru-RU" w:eastAsia="ru-RU" w:bidi="ru-RU"/>
        </w:rPr>
        <w:t>В соответствии с выданным Башкортостанским УФАС России уведомлением о приостановлении процедуры определения поставщика до рассмотрения жалоб по существу и запросом необходимой информации Заказчиком была представлена информация по закупкам № 0201100003825000001; № 0201100003825000004; №</w:t>
        <w:tab/>
        <w:t>0201100003825000005;</w:t>
        <w:tab/>
        <w:t>№</w:t>
        <w:tab/>
        <w:t>0201100003825000007;</w:t>
      </w:r>
    </w:p>
    <w:p>
      <w:pPr>
        <w:pStyle w:val="Style14"/>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 0201100003825000008; № 0201100003825000012; № 0201100003825000013; № 0201100003825000014.</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Комиссия Башкортостанского УФАС России (далее - Комиссия) изучив и рассмотрев представленные материалы дела, установила следующее.</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Заявитель в жалобах указывает, что в целях недопущения ограничения участников закупки целесообразно включить в описание объекта закупки:</w:t>
      </w:r>
    </w:p>
    <w:p>
      <w:pPr>
        <w:pStyle w:val="Style14"/>
        <w:keepNext w:val="0"/>
        <w:keepLines w:val="0"/>
        <w:widowControl w:val="0"/>
        <w:shd w:val="clear" w:color="auto" w:fill="auto"/>
        <w:bidi w:val="0"/>
        <w:spacing w:before="0" w:after="240"/>
        <w:ind w:left="0" w:right="0" w:firstLine="860"/>
        <w:jc w:val="both"/>
      </w:pPr>
      <w:r>
        <w:rPr>
          <w:color w:val="000000"/>
          <w:spacing w:val="0"/>
          <w:w w:val="100"/>
          <w:position w:val="0"/>
          <w:shd w:val="clear" w:color="auto" w:fill="auto"/>
          <w:lang w:val="ru-RU" w:eastAsia="ru-RU" w:bidi="ru-RU"/>
        </w:rPr>
        <w:t>«С возможностью применения инвалидами (пациентами с ограниченными возможностями) или применением в домашних условиях, а также лечебно</w:t>
        <w:softHyphen/>
        <w:t>профилактических учреждениях (в стационарных и амбулаторных условиях). Для однократного применения.».</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ООО «Омнимед» полагает, что отсутствие в закупочной документации закрепленной области применения технического средства реабилитации (а именно специальных средств при нарушениях функции выделения) не позволяет определить поставщика и поставить товар, соответствующий нуждам инвалидов.</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Описанием объекта закупки предусмотрена поставка технических средств реабилитации (далее - ТСР) для обеспечения Получателей.</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Согласно статье 11.1 Федерального закона от 24.11.1995 № 181-ФЗ «О социальной защите инвалидов в Российской Федерации» технические средства реабилитации предоставляются инвалидам по месту их жительства (месту пребывания, фактического проживания) уполномоченными органами в порядке, определяемом Правительством Российской Федерации, Фондом пенсионного и социального страхования Российской Федерации, а также иными заинтересованными организациями.</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 xml:space="preserve">Поставка товара должна быть осуществлена в Российской Федерации, по направлениям отделений Фонда пенсионного и социального страхования Российской Федерации по выбору Получателем технических средств реабилитации способа получения технического средства реабилитации - по месту жительства Получателя, в </w:t>
      </w:r>
      <w:r>
        <w:rPr>
          <w:color w:val="000000"/>
          <w:spacing w:val="0"/>
          <w:w w:val="100"/>
          <w:position w:val="0"/>
          <w:shd w:val="clear" w:color="auto" w:fill="auto"/>
          <w:lang w:val="ru-RU" w:eastAsia="ru-RU" w:bidi="ru-RU"/>
        </w:rPr>
        <w:t>том числе службой доставки (почтовым отправлением) или по месту нахождения Поставщика (соисполнителя) в пунктах выдачи.</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Заказчик не является медицинской организацией, не осуществляет медицинскую деятельность, вместе с тем занимается обеспечением инвалидов техническими средствами реабилитации по выбору Получателем ТСР способа получения, в том числе по месту жительства Получателя, из чего следует, что назначение и область применения требуемых к поставке ТСР предусматривает их самостоятельное использование (применение) инвалидом в домашних условиях.</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Описание объекта закупки имеет указание, что в соответствии с Федеральным законом от 21.11.2011г. № 323-ФЗ «Об основах охраны здоровья граждан в Российской Федерации» (далее - Закон № 323-ФЗ) и Постановлением Правительства Российской Федерации от 27.12.2012г. № 1416 «Об утверждении правил государственной регистрации медицинских изделий» (далее - Правила регистрации) на все товары должны быть регистрационные удостоверения, из чего следует, что закупаемые ТСР являются медицинскими изделиями.</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Согласно части 4 статьи 38 Закона № 323-ФЗ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 xml:space="preserve">Согласно подпунктам «г», «д» пункта 10 Правил регистрации для государственной регистрации медицинского изделия (за исключением медицинских изделий, включенных в перечень) представляются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 фотографические изображения общего вида медицинского изделия вместе с принадлежностями, необходимыми для применения медицинского изделия по назначению (размером не менее 18 </w:t>
      </w:r>
      <w:r>
        <w:rPr>
          <w:smallCaps/>
          <w:color w:val="000000"/>
          <w:spacing w:val="0"/>
          <w:w w:val="100"/>
          <w:position w:val="0"/>
          <w:shd w:val="clear" w:color="auto" w:fill="auto"/>
          <w:lang w:val="ru-RU" w:eastAsia="ru-RU" w:bidi="ru-RU"/>
        </w:rPr>
        <w:t>х</w:t>
      </w:r>
      <w:r>
        <w:rPr>
          <w:color w:val="000000"/>
          <w:spacing w:val="0"/>
          <w:w w:val="100"/>
          <w:position w:val="0"/>
          <w:shd w:val="clear" w:color="auto" w:fill="auto"/>
          <w:lang w:val="ru-RU" w:eastAsia="ru-RU" w:bidi="ru-RU"/>
        </w:rPr>
        <w:t xml:space="preserve"> 24 сантиметра).</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Согласно пункту 4 Правил регистрации «эксплуатационная документация производителя (изготовителя)» - документы, предназначенные для ознакомления потребителя с конструкцией медицинского изделия, регламентирующие условия и правила эксплуатации (использование по назначению, техническое обслуживание, текущий ремонт, хранение и транспортировка).</w:t>
      </w:r>
    </w:p>
    <w:p>
      <w:pPr>
        <w:pStyle w:val="Style14"/>
        <w:keepNext w:val="0"/>
        <w:keepLines w:val="0"/>
        <w:widowControl w:val="0"/>
        <w:shd w:val="clear" w:color="auto" w:fill="auto"/>
        <w:bidi w:val="0"/>
        <w:spacing w:before="0" w:after="0"/>
        <w:ind w:left="0" w:right="0" w:firstLine="860"/>
        <w:jc w:val="both"/>
        <w:sectPr>
          <w:footnotePr>
            <w:pos w:val="pageBottom"/>
            <w:numFmt w:val="decimal"/>
            <w:numRestart w:val="continuous"/>
          </w:footnotePr>
          <w:type w:val="continuous"/>
          <w:pgSz w:w="11900" w:h="16840"/>
          <w:pgMar w:top="301" w:right="539" w:bottom="1218" w:left="1103" w:header="0" w:footer="3" w:gutter="0"/>
          <w:cols w:space="720"/>
          <w:noEndnote/>
          <w:rtlGutter w:val="0"/>
          <w:docGrid w:linePitch="360"/>
        </w:sectPr>
      </w:pPr>
      <w:r>
        <w:rPr>
          <w:color w:val="000000"/>
          <w:spacing w:val="0"/>
          <w:w w:val="100"/>
          <w:position w:val="0"/>
          <w:shd w:val="clear" w:color="auto" w:fill="auto"/>
          <w:lang w:val="ru-RU" w:eastAsia="ru-RU" w:bidi="ru-RU"/>
        </w:rPr>
        <w:t>Согласно подпункту 3 пункта 6 приказа Министерства здравоохранения РФ от 19 января 2017 г. № 11н «Об утверждении требований к содержанию технической и эксплуатационной документации производителя (изготовителя) медицинского изделия» эксплуатационная документация производителя (изготовителя) на медицинское изделие должна содержать назначение медицинского изделия с указанием потенциального потребителя (например, медицинский работник).</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Приказом Минздрава России от 31.05.2019 № 348н утвержден перечень медицинских изделий, предназначенных для поддержания функций органов и систем организма человека, предоставляемых для использования на дому (далее - Перечень).</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Согласно разделу 5 в Перечень включены мочеприемники (носимые, прикроватные) для использования на дому.</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Согласно ГОСТ Р 59449-2021. «Национальный стандарт Российской Федерации. Средства ухода за мочевыми стомами, при недержании мочи у мужчин, при задержке мочи. Характеристики и основные требования. Методы испытаний» специальные средства ухода за мочевыми стомами, при недержании мочи у мужчин и при задержке мочи в настоящей классификации прежде всего предназначены для использования за пределами учреждений здравоохранения, однако эти средства зарегистрированы как медицинские изделия и применяются в лечебно</w:t>
        <w:softHyphen/>
        <w:t>профилактических учреждениях, в том числе в центрах (кабинетах) реабилитации, где обучают клиентов использованию этих средств.</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Согласно ГОСТ Р 58235-2022. «Национальный стандарт Российской Федерации. Специальные средства при нарушении функции выделения. Термины и определения. Классификация» Исходя из целей идентификации и гармонизации классификации средств при нарушении функции выделения, установленной в настоящем стандарте, с классификацией вспомогательных средств, представленной в ГОСТ Р ИСО 9999, все средства при нарушении функции выделения отнесены в настоящем стандарте к классу «Вспомогательные средства для индивидуального ухода (самообслуживания) и индивидуальной защиты», имеющему в соответствии с ГОСТ Р ИСО 9999 код «09», и подразделены на две классификационные группировки: подклассы и группы, имеющие наименования и коды, идентичные ГОСТ Р ИСО 9999.</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Код определяет место средств при нарушении функции выделения, как в международной, так и в национальной классификации вспомогательных средств для людей с ограничением жизнедеятельности.</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09 27 05 Мочеприемники ножные (дневные)</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Мешки для сбора небольших объемов мочи в течение активного времени суток с дренажной трубкой и переходником для соединения с урологическим катетером или уропрезервативом с одной стороны и сливным портом с другой стороны, носимые на теле и фиксирующиеся на ноге с помощью специальных парных ремешков или на штативе, кровати, кресле-коляске и т. п. посредством специального приспособления (держателя).</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09 27 06 Мочеприемники прикроватные (ночные)</w:t>
      </w:r>
    </w:p>
    <w:p>
      <w:pPr>
        <w:pStyle w:val="Style14"/>
        <w:keepNext w:val="0"/>
        <w:keepLines w:val="0"/>
        <w:widowControl w:val="0"/>
        <w:shd w:val="clear" w:color="auto" w:fill="auto"/>
        <w:bidi w:val="0"/>
        <w:spacing w:before="0" w:after="0" w:line="331" w:lineRule="auto"/>
        <w:ind w:left="0" w:right="0" w:firstLine="860"/>
        <w:jc w:val="both"/>
        <w:rPr>
          <w:sz w:val="24"/>
          <w:szCs w:val="24"/>
        </w:rPr>
        <w:sectPr>
          <w:footerReference w:type="default" r:id="rId9"/>
          <w:footnotePr>
            <w:pos w:val="pageBottom"/>
            <w:numFmt w:val="decimal"/>
            <w:numRestart w:val="continuous"/>
          </w:footnotePr>
          <w:pgSz w:w="11900" w:h="16840"/>
          <w:pgMar w:top="1105" w:right="546" w:bottom="531" w:left="1106" w:header="677" w:footer="10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Мешки для сбора больших объемов мочи, как правило, в ночное время с дренажной трубкой и переходником для соединения с урологическим катетером или </w:t>
      </w:r>
      <w:r>
        <w:rPr>
          <w:color w:val="000000"/>
          <w:spacing w:val="0"/>
          <w:w w:val="100"/>
          <w:position w:val="0"/>
          <w:sz w:val="24"/>
          <w:szCs w:val="24"/>
          <w:shd w:val="clear" w:color="auto" w:fill="auto"/>
          <w:lang w:val="ru-RU" w:eastAsia="ru-RU" w:bidi="ru-RU"/>
        </w:rPr>
        <w:t>2025-980</w:t>
      </w:r>
    </w:p>
    <w:p>
      <w:pPr>
        <w:pStyle w:val="Style14"/>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уропрезервативом с одной стороны и сливным портом для дренирования мочеприемника с другой стороны, носимые на теле или фиксирующиеся на штативе, кровати, кресле-коляске и т. п. с помощью специального приспособления (держателя), а также на ноге посредством специальных парных ремешков.</w:t>
      </w:r>
    </w:p>
    <w:p>
      <w:pPr>
        <w:pStyle w:val="Style14"/>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Таким образом, оба ГОСТ однозначно определяют место использования (применения) мочеприемников (носимые, прикроватные).</w:t>
      </w:r>
    </w:p>
    <w:p>
      <w:pPr>
        <w:pStyle w:val="Style14"/>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Отмечаем, что согласно описанию объекта закупки: Товар должен быть новым (ранее неиспользованным), не иметь дефектов, связанных с конструкцией, материалами или функционированием при штатном использовании, и изготовлен в соответствии с действующими требованиями ГОСТ Р 58235-2022 Национальный стандарт Российской Федерации. Специальные средства при нарушении функции выделения. Термины и определения. Классификация.</w:t>
      </w:r>
    </w:p>
    <w:p>
      <w:pPr>
        <w:pStyle w:val="Style14"/>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Исходя из данных требований Заказчика, описание закупаемых им мочеприемников однозначно должно включать параметры, соответствующие названному ГОСТ.</w:t>
      </w:r>
    </w:p>
    <w:p>
      <w:pPr>
        <w:pStyle w:val="Style14"/>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Согласно ГОСТ Р 58235-2022 все специальные средства при нарушении функции выделения в настоящей классификации прежде всего предназначены для использования за пределами учреждений здравоохранения, однако эти средства зарегистрированы как медицинские изделия и могут быть применены в лечебно</w:t>
        <w:softHyphen/>
        <w:t>профилактических учреждениях, в том числе в центрах (кабинетах) реабилитации, где обучают клиентов, как использовать эти средства.</w:t>
      </w:r>
    </w:p>
    <w:p>
      <w:pPr>
        <w:pStyle w:val="Style14"/>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Из положений требований проекта контракта и разъяснения Заказчика от 20.01.2025 следует, что продукцию получает непосредственно конечный получатель (инвалид) и самостоятельно определяет место применения в зависимости от своего местонахождения, в том числе в домашних условиях, что не исключает иных возможных мест, в том числе стационарные и амбулаторные условия применения.</w:t>
      </w:r>
    </w:p>
    <w:p>
      <w:pPr>
        <w:pStyle w:val="Style14"/>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Учитывая тот факт, что все мочеприемники также являются медицинскими изделиями и должны быть надлежащим образом зарегистрированы в Росздравнадзоре.</w:t>
      </w:r>
    </w:p>
    <w:p>
      <w:pPr>
        <w:pStyle w:val="Style14"/>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Из анализа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размещенного на официальном сайте Росздравнадзора, следует, что все зарегистрированные мочеприемники имеют соответствующую область применения (назначение) - сравнительная таблица прилагается.</w:t>
      </w:r>
    </w:p>
    <w:p>
      <w:pPr>
        <w:pStyle w:val="Style14"/>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Например, среди прочих имеются мочеприемники для сбора мочи ТОЛЬКО в стационарных и амбулаторных условиях.</w:t>
      </w:r>
    </w:p>
    <w:p>
      <w:pPr>
        <w:pStyle w:val="Style14"/>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 xml:space="preserve">В целях недопущения нанесения вреда жизни и здоровью пациента (инвалида) такие мочеприемники не могут быть использованы конечными </w:t>
      </w:r>
      <w:r>
        <w:rPr>
          <w:color w:val="000000"/>
          <w:spacing w:val="0"/>
          <w:w w:val="100"/>
          <w:position w:val="0"/>
          <w:shd w:val="clear" w:color="auto" w:fill="auto"/>
          <w:lang w:val="ru-RU" w:eastAsia="ru-RU" w:bidi="ru-RU"/>
        </w:rPr>
        <w:t>получателями самостоятельно БЕЗ ПРИСУТСТВИЯ (УЧАСТИЯ) медицинского работника.</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Так, согласно части 3 статьи 32 Федеральным законом от 21.11.2011г. № 323- ФЗ «Об основах охраны здоровья граждан в Российской Федерации» медицинская помощь может оказываться в следующих условиях:</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2) амбулаторно (в условиях, не предусматривающих круглосуточного медицинского наблюдения и лечения), в том числе на дому при вызове медицинского работника;</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4) стационарно (в условиях, обеспечивающих круглосуточное медицинское наблюдение и лечение).</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Учитывая тот факт, что большая часть конечных получателей (инвалидов) используют мочеприемники самостоятельно (или в домашних условиях), в целях исключения рисков нанесения вреда здоровью и реализации прав инвалидов на получение ТСР - мочеприемники (носимые, прикроватные), использование которых возможно (разрешено к применению) в соответствии с правилами регистрации медицинских изделий непосредственно инвалидами либо применение в домашних условиях, а также в лечебно-профилактических учреждениях (в стационарных и амбулаторных условиях), в описание объекта закупки необходимо включить требование к назначению или области применения закупаемых ТСР (местам использования), при этом в целях недопущения ограничения участников закупки целесообразно включить в описание объекта закупки:</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«С возможностью применения инвалидами (пациентами с ограниченными возможностями) или применением в домашних условиях, а также лечебно</w:t>
        <w:softHyphen/>
        <w:t>профилактических учреждениях (в стационарных и амбулаторных условиях). Для однократного применения.».</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В распоряжение антимонопольного органа поступило письмо (исх. № 13- 0/10/ФС-62), подписанное заместителем министра труда и социальной защиты Российской Федерации Вовченко А.В., в котором содержится следующая информация:</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«В соответствии с Федеральным законом от 24 ноября 1995 г. № 181-ФЗ «О социальной защите инвалидов в Российской Федерации» и Правилами обеспечения инвалидов техническими средствами реабилитации (далее - ТСР) и отдельных категорий граждан из числа ветеранов протезами (кроме зубных протезов), протезно-ортопедическими изделиями, утвержденными постановлением Правительства Российской Федерации от 7 апреля 2008 г. № 240, обеспечение инвалидов ТСР осуществляется на основании заявлений, поданных инвалидами или лицами, представляющими их интересы, согласно индивидуальной программы реабилитации или абилитации инвалида (далее - ИПРА), разрабатываемой федеральными учреждениями медико-социальной экспертизы.</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Закупка ТСР для предоставления их инвалидам осуществляется уполномоченными органами через организации, отобранные по результатам проведенных торгов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При осуществлении закупочных процедур ТСР для обеспечения инвалидов описание объектов закупки формируется исходя из рекомендаций ИПРА, в том числе с учетом индивидуальных параметров изделия, а также индивидуальной потребности инвалида.</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В 2024 году на основании Приказа Социального фонда России (далее соответственно - СФР, ОСФР) от 28 сентября 2023 г. № 1811ДСП государственные контракты на поставку специальных средств при нарушениях функций выделения заключаются централизованно ОСФР по Республике Башкортостан. Таким образом, для обеспечения в 2024 году инвалидов, проживающих на территории Республики Северная Осетия-Алания, мочеприемниками ОСФР по Республике Башкортостан 9 апреля 2024 г. с ООО «Дорснаб» заключены государственные контракты № 437 и № 447.</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В соответствии с пунктом 4.2. указанных контрактов комиссией ОСФР по РСО-Алания осуществлены выборочные проверки поставленных мочеприемников. При проведении выборочных проверок в составе комиссии участвовали представители общественных организации. Комиссией установлено полное соответствие поставленного товара техническому заданию, указанному в государственных контрактах. При этом все изделия упакованы. Упаковка защищает от повреждений, порчи (изнашивания), загрязнения во время хранения и транспортировки. Жалоб на качество мочеприемников от инвалидов в ОСФР не поступало.</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Необходимо отметить, что статьей 33 Федерального закона № 44-ФЗ установлено, что при описании объекта закупки Заказчик указывает функциональные, технические и качественные характеристики объекта закупки исходя из своих потребностей, руководствуясь принципом эффективности осуществления закупок.</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Характеристики объекта закупки указаны исходя из практической потребности граждан-инвалидов (детей-инвалидов) со стойкими умеренными, выраженными и значительно выраженными нарушениями мочевыделительной функции, обусловленными наличием уростомы, нефростомы, цистостомы, уретерокутанеостомы, илеального кондуита, недержанием, задержкой мочи, корригируемые с помощью использования уропрезерватива и уретральных катетеров длительного и постоянного пользования.</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При описании объекта закупки Заказчик опирался на Национальные стандарты: ГОСТ Р 59449-2021. «Национальный стандарт Российской Федерации. Средства ухода за мочевыми стомами, при недержании мочи у мужчин, при задержке мочи. Характеристики и основные требования. Методы испытаний»; ГОСТ Р 58235-2022. «Национальный стандарт Российской Федерации. Специальные средства при нарушении функции выделения. Термины и определения. Классификация». В описании объекта закупки отсутствует уточнение в стерильности или не стерильности. Так же в указанных выше Национальных стандартах отсутствует требование к месту применения товара.</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Инвалид может использовать данные изделия по месту нахождения (стационарные лечебные учреждения, санаторно-курортное учреждение и другие).</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Оба ГОСТ однозначно определяют место пользования (применения) мочеприемников (носимые, прикроватные).</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Все специальные средства при нарушении функции выделения прежде всего предназначены для использования за пределами учреждений здравоохранения, однако эти средства зарегистрированы как медицинские изделия и могут быть применены в лечебно-профилактических учреждениях, в том числе в центрах (кабинетах) реабилитации, где обучают клиентов, как использовать эти средства.</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 xml:space="preserve">С учетом проведенного анализа в целях обеспечения безопасности применения медицинских изделий и эффективности закупок в рамках исполнения государственных контрактов на поставку специальных средств при нарушениях функций выделения Минтрудом России </w:t>
      </w:r>
      <w:r>
        <w:rPr>
          <w:b/>
          <w:bCs/>
          <w:color w:val="000000"/>
          <w:spacing w:val="0"/>
          <w:w w:val="100"/>
          <w:position w:val="0"/>
          <w:shd w:val="clear" w:color="auto" w:fill="auto"/>
          <w:lang w:val="ru-RU" w:eastAsia="ru-RU" w:bidi="ru-RU"/>
        </w:rPr>
        <w:t>дано поручение СФР при формировании технического задания обеспечить включение в описание объекта закупки требований по месту использования (применения). Техническое задание должно включать требования по возможности самостоятельного применения инвалидами (пациентами с ограниченными возможностями) или с применением в домашних условиях, а также лечебно-профилактических учреждениях (в стационарных и амбулаторных условиях). Для однократного применения.</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Исходя из представленного письма и иной информации, направленной Заявителем, Заказчику в лице Отделения фонда пенсионного и социального страхования РФ по Республике Башкортостан надлежит в описание объекта закупки включать требования по месту использования (применения) средства реабилитации.</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Однако, как следует из закупочной документации по процедурам № 0201100003825000001; № 0201100003825000004; № 0201100003825000005; № 0201100003825000007; № 0201100003825000008; № 0201100003825000012; № 0201100003825000013; № 0201100003825000014, Заказчиком в описание объекта закупки не были включены требования по месту использования (применения) средства реабилитации.</w:t>
      </w:r>
      <w:r>
        <w:br w:type="page"/>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В соответствии с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Таким образом, в действиях Заказчика установлено нарушение ч. 3 ст. 7 Закона о контрактной системе.</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Жалоба признается обоснованной.</w:t>
      </w:r>
    </w:p>
    <w:p>
      <w:pPr>
        <w:pStyle w:val="Style14"/>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Выявленные нарушения содержат признаки административного правонарушения, ответственность за которое предусмотрена ч. 1.4 ст. 7.30 Кодекса Российской Федерации об административных правонарушениях.</w:t>
      </w:r>
    </w:p>
    <w:p>
      <w:pPr>
        <w:pStyle w:val="Style14"/>
        <w:keepNext w:val="0"/>
        <w:keepLines w:val="0"/>
        <w:widowControl w:val="0"/>
        <w:shd w:val="clear" w:color="auto" w:fill="auto"/>
        <w:bidi w:val="0"/>
        <w:spacing w:before="0" w:after="340"/>
        <w:ind w:left="0" w:right="0" w:firstLine="860"/>
        <w:jc w:val="both"/>
      </w:pPr>
      <w:r>
        <w:rPr>
          <w:color w:val="000000"/>
          <w:spacing w:val="0"/>
          <w:w w:val="100"/>
          <w:position w:val="0"/>
          <w:shd w:val="clear" w:color="auto" w:fill="auto"/>
          <w:lang w:val="ru-RU" w:eastAsia="ru-RU" w:bidi="ru-RU"/>
        </w:rPr>
        <w:t>На основании вышеизложенного и руководствуясь ст. 99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p>
      <w:pPr>
        <w:pStyle w:val="Style14"/>
        <w:keepNext w:val="0"/>
        <w:keepLines w:val="0"/>
        <w:widowControl w:val="0"/>
        <w:shd w:val="clear" w:color="auto" w:fill="auto"/>
        <w:bidi w:val="0"/>
        <w:spacing w:before="0" w:after="340"/>
        <w:ind w:left="0" w:right="0" w:firstLine="0"/>
        <w:jc w:val="center"/>
      </w:pPr>
      <w:r>
        <w:rPr>
          <w:b/>
          <w:bCs/>
          <w:color w:val="000000"/>
          <w:spacing w:val="0"/>
          <w:w w:val="100"/>
          <w:position w:val="0"/>
          <w:shd w:val="clear" w:color="auto" w:fill="auto"/>
          <w:lang w:val="ru-RU" w:eastAsia="ru-RU" w:bidi="ru-RU"/>
        </w:rPr>
        <w:t>РЕШИЛА:</w:t>
      </w:r>
    </w:p>
    <w:p>
      <w:pPr>
        <w:pStyle w:val="Style14"/>
        <w:keepNext w:val="0"/>
        <w:keepLines w:val="0"/>
        <w:widowControl w:val="0"/>
        <w:numPr>
          <w:ilvl w:val="0"/>
          <w:numId w:val="3"/>
        </w:numPr>
        <w:shd w:val="clear" w:color="auto" w:fill="auto"/>
        <w:tabs>
          <w:tab w:pos="1228" w:val="left"/>
        </w:tabs>
        <w:bidi w:val="0"/>
        <w:spacing w:before="0" w:after="0"/>
        <w:ind w:left="0" w:right="0" w:firstLine="860"/>
        <w:jc w:val="both"/>
      </w:pPr>
      <w:r>
        <w:rPr>
          <w:color w:val="000000"/>
          <w:spacing w:val="0"/>
          <w:w w:val="100"/>
          <w:position w:val="0"/>
          <w:shd w:val="clear" w:color="auto" w:fill="auto"/>
          <w:lang w:val="ru-RU" w:eastAsia="ru-RU" w:bidi="ru-RU"/>
        </w:rPr>
        <w:t>Признать жалобу ООО «Омнимед» обоснованной.</w:t>
      </w:r>
    </w:p>
    <w:p>
      <w:pPr>
        <w:pStyle w:val="Style14"/>
        <w:keepNext w:val="0"/>
        <w:keepLines w:val="0"/>
        <w:widowControl w:val="0"/>
        <w:numPr>
          <w:ilvl w:val="0"/>
          <w:numId w:val="3"/>
        </w:numPr>
        <w:shd w:val="clear" w:color="auto" w:fill="auto"/>
        <w:tabs>
          <w:tab w:pos="1232" w:val="left"/>
        </w:tabs>
        <w:bidi w:val="0"/>
        <w:spacing w:before="0" w:after="0"/>
        <w:ind w:left="0" w:right="0" w:firstLine="860"/>
        <w:jc w:val="both"/>
      </w:pPr>
      <w:r>
        <w:rPr>
          <w:color w:val="000000"/>
          <w:spacing w:val="0"/>
          <w:w w:val="100"/>
          <w:position w:val="0"/>
          <w:shd w:val="clear" w:color="auto" w:fill="auto"/>
          <w:lang w:val="ru-RU" w:eastAsia="ru-RU" w:bidi="ru-RU"/>
        </w:rPr>
        <w:t>В действиях заказчика установлено нарушение ч. 3 ст. 7 Закона о контрактной системе.</w:t>
      </w:r>
    </w:p>
    <w:p>
      <w:pPr>
        <w:pStyle w:val="Style14"/>
        <w:keepNext w:val="0"/>
        <w:keepLines w:val="0"/>
        <w:widowControl w:val="0"/>
        <w:numPr>
          <w:ilvl w:val="0"/>
          <w:numId w:val="3"/>
        </w:numPr>
        <w:shd w:val="clear" w:color="auto" w:fill="auto"/>
        <w:tabs>
          <w:tab w:pos="1232" w:val="left"/>
        </w:tabs>
        <w:bidi w:val="0"/>
        <w:spacing w:before="0" w:after="0"/>
        <w:ind w:left="0" w:right="0" w:firstLine="860"/>
        <w:jc w:val="both"/>
      </w:pPr>
      <w:r>
        <w:rPr>
          <w:color w:val="000000"/>
          <w:spacing w:val="0"/>
          <w:w w:val="100"/>
          <w:position w:val="0"/>
          <w:shd w:val="clear" w:color="auto" w:fill="auto"/>
          <w:lang w:val="ru-RU" w:eastAsia="ru-RU" w:bidi="ru-RU"/>
        </w:rPr>
        <w:t>Заказчику комиссии выдать предписание об устранении допущенных нарушений Закона о контрактной системе.</w:t>
      </w:r>
    </w:p>
    <w:p>
      <w:pPr>
        <w:pStyle w:val="Style14"/>
        <w:keepNext w:val="0"/>
        <w:keepLines w:val="0"/>
        <w:widowControl w:val="0"/>
        <w:numPr>
          <w:ilvl w:val="0"/>
          <w:numId w:val="3"/>
        </w:numPr>
        <w:shd w:val="clear" w:color="auto" w:fill="auto"/>
        <w:tabs>
          <w:tab w:pos="1237" w:val="left"/>
        </w:tabs>
        <w:bidi w:val="0"/>
        <w:spacing w:before="0" w:after="280"/>
        <w:ind w:left="0" w:right="0" w:firstLine="86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p>
      <w:pPr>
        <w:pStyle w:val="Style14"/>
        <w:keepNext w:val="0"/>
        <w:keepLines w:val="0"/>
        <w:widowControl w:val="0"/>
        <w:shd w:val="clear" w:color="auto" w:fill="auto"/>
        <w:bidi w:val="0"/>
        <w:spacing w:before="0" w:after="280" w:line="240" w:lineRule="auto"/>
        <w:ind w:left="0" w:right="0" w:firstLine="860"/>
        <w:jc w:val="both"/>
      </w:pPr>
      <w:r>
        <w:rPr>
          <w:color w:val="000000"/>
          <w:spacing w:val="0"/>
          <w:w w:val="100"/>
          <w:position w:val="0"/>
          <w:shd w:val="clear" w:color="auto" w:fill="auto"/>
          <w:lang w:val="ru-RU" w:eastAsia="ru-RU" w:bidi="ru-RU"/>
        </w:rPr>
        <w:t>Решение может быть обжаловано в течение трех месяцев со дня его принятия.</w:t>
      </w:r>
    </w:p>
    <w:p>
      <w:pPr>
        <w:pStyle w:val="Style14"/>
        <w:keepNext w:val="0"/>
        <w:keepLines w:val="0"/>
        <w:widowControl w:val="0"/>
        <w:shd w:val="clear" w:color="auto" w:fill="auto"/>
        <w:bidi w:val="0"/>
        <w:spacing w:before="0" w:after="280" w:line="240" w:lineRule="auto"/>
        <w:ind w:left="5320" w:right="0" w:firstLine="0"/>
        <w:jc w:val="both"/>
      </w:pPr>
      <w:r>
        <mc:AlternateContent>
          <mc:Choice Requires="wps">
            <w:drawing>
              <wp:anchor distT="0" distB="0" distL="114300" distR="114300" simplePos="0" relativeHeight="125829380" behindDoc="0" locked="0" layoutInCell="1" allowOverlap="1">
                <wp:simplePos x="0" y="0"/>
                <wp:positionH relativeFrom="page">
                  <wp:posOffset>701675</wp:posOffset>
                </wp:positionH>
                <wp:positionV relativeFrom="paragraph">
                  <wp:posOffset>12700</wp:posOffset>
                </wp:positionV>
                <wp:extent cx="1859280" cy="661670"/>
                <wp:wrapSquare wrapText="bothSides"/>
                <wp:docPr id="8" name="Shape 8"/>
                <a:graphic xmlns:a="http://schemas.openxmlformats.org/drawingml/2006/main">
                  <a:graphicData uri="http://schemas.microsoft.com/office/word/2010/wordprocessingShape">
                    <wps:wsp>
                      <wps:cNvSpPr txBox="1"/>
                      <wps:spPr>
                        <a:xfrm>
                          <a:ext cx="1859280" cy="661670"/>
                        </a:xfrm>
                        <a:prstGeom prst="rect"/>
                        <a:noFill/>
                      </wps:spPr>
                      <wps:txbx>
                        <w:txbxContent>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4" type="#_x0000_t202" style="position:absolute;margin-left:55.25pt;margin-top:1.pt;width:146.40000000000001pt;height:52.100000000000001pt;z-index:-125829373;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anchorx="page"/>
              </v:shape>
            </w:pict>
          </mc:Fallback>
        </mc:AlternateContent>
      </w:r>
      <w:r>
        <w:rPr>
          <w:color w:val="000000"/>
          <w:spacing w:val="0"/>
          <w:w w:val="100"/>
          <w:position w:val="0"/>
          <w:shd w:val="clear" w:color="auto" w:fill="auto"/>
          <w:lang w:val="ru-RU" w:eastAsia="ru-RU" w:bidi="ru-RU"/>
        </w:rPr>
        <w:t>Арсланов А.А.</w:t>
      </w:r>
    </w:p>
    <w:p>
      <w:pPr>
        <w:pStyle w:val="Style14"/>
        <w:keepNext w:val="0"/>
        <w:keepLines w:val="0"/>
        <w:widowControl w:val="0"/>
        <w:shd w:val="clear" w:color="auto" w:fill="auto"/>
        <w:bidi w:val="0"/>
        <w:spacing w:before="0" w:after="280" w:line="240" w:lineRule="auto"/>
        <w:ind w:left="5320" w:right="0" w:firstLine="0"/>
        <w:jc w:val="both"/>
      </w:pPr>
      <w:r>
        <w:rPr>
          <w:color w:val="000000"/>
          <w:spacing w:val="0"/>
          <w:w w:val="100"/>
          <w:position w:val="0"/>
          <w:shd w:val="clear" w:color="auto" w:fill="auto"/>
          <w:lang w:val="ru-RU" w:eastAsia="ru-RU" w:bidi="ru-RU"/>
        </w:rPr>
        <w:t>Ларшутин Р.С.</w:t>
      </w:r>
    </w:p>
    <w:p>
      <w:pPr>
        <w:pStyle w:val="Style14"/>
        <w:keepNext w:val="0"/>
        <w:keepLines w:val="0"/>
        <w:widowControl w:val="0"/>
        <w:shd w:val="clear" w:color="auto" w:fill="auto"/>
        <w:bidi w:val="0"/>
        <w:spacing w:before="0" w:after="340" w:line="240" w:lineRule="auto"/>
        <w:ind w:left="0" w:right="0" w:firstLine="0"/>
        <w:jc w:val="right"/>
      </w:pPr>
      <w:r>
        <w:rPr>
          <w:color w:val="000000"/>
          <w:spacing w:val="0"/>
          <w:w w:val="100"/>
          <w:position w:val="0"/>
          <w:shd w:val="clear" w:color="auto" w:fill="auto"/>
          <w:lang w:val="ru-RU" w:eastAsia="ru-RU" w:bidi="ru-RU"/>
        </w:rPr>
        <w:t>Радина З.С.</w:t>
      </w:r>
    </w:p>
    <w:p>
      <w:pPr>
        <w:pStyle w:val="Style14"/>
        <w:keepNext w:val="0"/>
        <w:keepLines w:val="0"/>
        <w:widowControl w:val="0"/>
        <w:shd w:val="clear" w:color="auto" w:fill="auto"/>
        <w:bidi w:val="0"/>
        <w:spacing w:before="0" w:after="30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6029325</wp:posOffset>
                </wp:positionH>
                <wp:positionV relativeFrom="paragraph">
                  <wp:posOffset>12700</wp:posOffset>
                </wp:positionV>
                <wp:extent cx="1151890" cy="252730"/>
                <wp:wrapSquare wrapText="left"/>
                <wp:docPr id="10" name="Shape 10"/>
                <a:graphic xmlns:a="http://schemas.openxmlformats.org/drawingml/2006/main">
                  <a:graphicData uri="http://schemas.microsoft.com/office/word/2010/wordprocessingShape">
                    <wps:wsp>
                      <wps:cNvSpPr txBox="1"/>
                      <wps:spPr>
                        <a:xfrm>
                          <a:ext cx="115189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Арсланов</w:t>
                            </w:r>
                          </w:p>
                        </w:txbxContent>
                      </wps:txbx>
                      <wps:bodyPr wrap="none" lIns="0" tIns="0" rIns="0" bIns="0">
                        <a:noAutoFit/>
                      </wps:bodyPr>
                    </wps:wsp>
                  </a:graphicData>
                </a:graphic>
              </wp:anchor>
            </w:drawing>
          </mc:Choice>
          <mc:Fallback>
            <w:pict>
              <v:shape id="_x0000_s1036" type="#_x0000_t202" style="position:absolute;margin-left:474.75pt;margin-top:1.pt;width:90.700000000000003pt;height:19.900000000000002pt;z-index:-125829371;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Арсланов</w:t>
                      </w:r>
                    </w:p>
                  </w:txbxContent>
                </v:textbox>
                <w10:wrap type="square" side="left" anchorx="page"/>
              </v:shape>
            </w:pict>
          </mc:Fallback>
        </mc:AlternateContent>
      </w:r>
      <w:r>
        <w:rPr>
          <w:color w:val="000000"/>
          <w:spacing w:val="0"/>
          <w:w w:val="100"/>
          <w:position w:val="0"/>
          <w:shd w:val="clear" w:color="auto" w:fill="auto"/>
          <w:lang w:val="ru-RU" w:eastAsia="ru-RU" w:bidi="ru-RU"/>
        </w:rPr>
        <w:t>Заместитель начальника отдела</w:t>
      </w:r>
      <w:r>
        <w:br w:type="page"/>
      </w:r>
    </w:p>
    <w:p>
      <w:pPr>
        <w:pStyle w:val="Style21"/>
        <w:keepNext w:val="0"/>
        <w:keepLines w:val="0"/>
        <w:widowControl w:val="0"/>
        <w:shd w:val="clear" w:color="auto" w:fill="auto"/>
        <w:bidi w:val="0"/>
        <w:spacing w:before="0" w:after="106" w:line="240" w:lineRule="auto"/>
        <w:ind w:left="0" w:right="0" w:firstLine="0"/>
        <w:jc w:val="left"/>
      </w:pPr>
      <w:r>
        <w:drawing>
          <wp:anchor distT="0" distB="0" distL="76200" distR="76200" simplePos="0" relativeHeight="125829384" behindDoc="0" locked="0" layoutInCell="1" allowOverlap="1">
            <wp:simplePos x="0" y="0"/>
            <wp:positionH relativeFrom="page">
              <wp:posOffset>2557780</wp:posOffset>
            </wp:positionH>
            <wp:positionV relativeFrom="margin">
              <wp:posOffset>318770</wp:posOffset>
            </wp:positionV>
            <wp:extent cx="347345" cy="402590"/>
            <wp:wrapSquare wrapText="right"/>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0"/>
                    <a:stretch/>
                  </pic:blipFill>
                  <pic:spPr>
                    <a:xfrm>
                      <a:ext cx="347345" cy="402590"/>
                    </a:xfrm>
                    <a:prstGeom prst="rect"/>
                  </pic:spPr>
                </pic:pic>
              </a:graphicData>
            </a:graphic>
          </wp:anchor>
        </w:drawing>
      </w: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86" w:line="240" w:lineRule="auto"/>
        <w:ind w:left="0" w:right="0" w:firstLine="0"/>
        <w:jc w:val="center"/>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spacing w:val="0"/>
          <w:w w:val="100"/>
          <w:position w:val="0"/>
          <w:shd w:val="clear" w:color="auto" w:fill="auto"/>
          <w:lang w:val="ru-RU" w:eastAsia="ru-RU" w:bidi="ru-RU"/>
        </w:rPr>
        <w:t>СЕРТИФИКАТЕ ЭП</w:t>
      </w:r>
    </w:p>
    <w:p>
      <w:pPr>
        <w:pStyle w:val="Style26"/>
        <w:keepNext w:val="0"/>
        <w:keepLines w:val="0"/>
        <w:widowControl w:val="0"/>
        <w:shd w:val="clear" w:color="auto" w:fill="auto"/>
        <w:bidi w:val="0"/>
        <w:spacing w:before="0" w:after="0" w:line="240" w:lineRule="auto"/>
        <w:ind w:right="0" w:firstLine="0"/>
        <w:jc w:val="left"/>
      </w:pPr>
      <w:r>
        <w:rPr>
          <w:color w:val="444444"/>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Арсланов Анвар Аслямович</w:t>
      </w:r>
    </w:p>
    <w:p>
      <w:pPr>
        <w:pStyle w:val="Style26"/>
        <w:keepNext w:val="0"/>
        <w:keepLines w:val="0"/>
        <w:widowControl w:val="0"/>
        <w:shd w:val="clear" w:color="auto" w:fill="auto"/>
        <w:bidi w:val="0"/>
        <w:spacing w:before="0" w:after="0" w:line="240" w:lineRule="auto"/>
        <w:ind w:right="0" w:firstLine="0"/>
        <w:jc w:val="left"/>
      </w:pPr>
      <w:r>
        <w:rPr>
          <w:color w:val="444444"/>
          <w:spacing w:val="0"/>
          <w:w w:val="100"/>
          <w:position w:val="0"/>
          <w:shd w:val="clear" w:color="auto" w:fill="auto"/>
          <w:lang w:val="ru-RU" w:eastAsia="ru-RU" w:bidi="ru-RU"/>
        </w:rPr>
        <w:t xml:space="preserve">Сертификат </w:t>
      </w:r>
      <w:r>
        <w:rPr>
          <w:spacing w:val="0"/>
          <w:w w:val="100"/>
          <w:position w:val="0"/>
          <w:shd w:val="clear" w:color="auto" w:fill="auto"/>
          <w:lang w:val="ru-RU" w:eastAsia="ru-RU" w:bidi="ru-RU"/>
        </w:rPr>
        <w:t>№ 00С05ВВЗС0А4О0АЕСАА57207ВВ8СА1 068</w:t>
      </w:r>
    </w:p>
    <w:p>
      <w:pPr>
        <w:pStyle w:val="Style26"/>
        <w:keepNext w:val="0"/>
        <w:keepLines w:val="0"/>
        <w:widowControl w:val="0"/>
        <w:shd w:val="clear" w:color="auto" w:fill="auto"/>
        <w:bidi w:val="0"/>
        <w:spacing w:before="0" w:after="0" w:line="240" w:lineRule="auto"/>
        <w:ind w:right="0" w:firstLine="0"/>
        <w:jc w:val="left"/>
        <w:sectPr>
          <w:footerReference w:type="default" r:id="rId12"/>
          <w:footnotePr>
            <w:pos w:val="pageBottom"/>
            <w:numFmt w:val="decimal"/>
            <w:numRestart w:val="continuous"/>
          </w:footnotePr>
          <w:pgSz w:w="11900" w:h="16840"/>
          <w:pgMar w:top="1067" w:right="538" w:bottom="1091" w:left="1105" w:header="639" w:footer="3" w:gutter="0"/>
          <w:cols w:space="720"/>
          <w:noEndnote/>
          <w:rtlGutter w:val="0"/>
          <w:docGrid w:linePitch="360"/>
        </w:sectPr>
      </w:pPr>
      <w:r>
        <w:rPr>
          <w:color w:val="656565"/>
          <w:spacing w:val="0"/>
          <w:w w:val="100"/>
          <w:position w:val="0"/>
          <w:shd w:val="clear" w:color="auto" w:fill="auto"/>
          <w:lang w:val="ru-RU" w:eastAsia="ru-RU" w:bidi="ru-RU"/>
        </w:rPr>
        <w:t xml:space="preserve">Действителен </w:t>
      </w:r>
      <w:r>
        <w:rPr>
          <w:color w:val="444444"/>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24.10.2024 </w:t>
      </w:r>
      <w:r>
        <w:rPr>
          <w:color w:val="000000"/>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17.01</w:t>
      </w:r>
      <w:r>
        <w:rPr>
          <w:color w:val="444444"/>
          <w:spacing w:val="0"/>
          <w:w w:val="100"/>
          <w:position w:val="0"/>
          <w:shd w:val="clear" w:color="auto" w:fill="auto"/>
          <w:lang w:val="ru-RU" w:eastAsia="ru-RU" w:bidi="ru-RU"/>
        </w:rPr>
        <w:t>.2026</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 w:after="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94" w:right="0" w:bottom="1481"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Исп.Ларшутин Р.С.</w:t>
        <w:br/>
        <w:t>тел.(347) 216-33-54</w:t>
      </w:r>
    </w:p>
    <w:sectPr>
      <w:footnotePr>
        <w:pos w:val="pageBottom"/>
        <w:numFmt w:val="decimal"/>
        <w:numRestart w:val="continuous"/>
      </w:footnotePr>
      <w:type w:val="continuous"/>
      <w:pgSz w:w="11900" w:h="16840"/>
      <w:pgMar w:top="1494" w:right="8941" w:bottom="148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10064115</wp:posOffset>
              </wp:positionV>
              <wp:extent cx="572770" cy="100330"/>
              <wp:wrapNone/>
              <wp:docPr id="2" name="Shape 2"/>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2025-980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850000000000001pt;margin-top:792.45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2025-980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2770" cy="100330"/>
              <wp:wrapNone/>
              <wp:docPr id="4" name="Shape 4"/>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2025-980</w:t>
                          </w:r>
                        </w:p>
                      </w:txbxContent>
                    </wps:txbx>
                    <wps:bodyPr wrap="none" lIns="0" tIns="0" rIns="0" bIns="0">
                      <a:spAutoFit/>
                    </wps:bodyPr>
                  </wps:wsp>
                </a:graphicData>
              </a:graphic>
            </wp:anchor>
          </w:drawing>
        </mc:Choice>
        <mc:Fallback>
          <w:pict>
            <v:shape id="_x0000_s1030" type="#_x0000_t202" style="position:absolute;margin-left:57.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2025-980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721995</wp:posOffset>
              </wp:positionH>
              <wp:positionV relativeFrom="page">
                <wp:posOffset>10064115</wp:posOffset>
              </wp:positionV>
              <wp:extent cx="572770" cy="100330"/>
              <wp:wrapNone/>
              <wp:docPr id="14" name="Shape 14"/>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2025-980</w:t>
                          </w:r>
                        </w:p>
                      </w:txbxContent>
                    </wps:txbx>
                    <wps:bodyPr wrap="none" lIns="0" tIns="0" rIns="0" bIns="0">
                      <a:spAutoFit/>
                    </wps:bodyPr>
                  </wps:wsp>
                </a:graphicData>
              </a:graphic>
            </wp:anchor>
          </w:drawing>
        </mc:Choice>
        <mc:Fallback>
          <w:pict>
            <v:shape id="_x0000_s1040" type="#_x0000_t202" style="position:absolute;margin-left:56.850000000000001pt;margin-top:792.45000000000005pt;width:45.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2025-980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8629A"/>
      <w:sz w:val="16"/>
      <w:szCs w:val="16"/>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8629A"/>
      <w:sz w:val="19"/>
      <w:szCs w:val="19"/>
      <w:u w:val="none"/>
    </w:rPr>
  </w:style>
  <w:style w:type="character" w:customStyle="1" w:styleId="CharStyle12">
    <w:name w:val="Основной текст (6)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8"/>
      <w:szCs w:val="38"/>
      <w:u w:val="none"/>
    </w:rPr>
  </w:style>
  <w:style w:type="character" w:customStyle="1" w:styleId="CharStyle22">
    <w:name w:val="Основной текст (4)_"/>
    <w:basedOn w:val="DefaultParagraphFont"/>
    <w:link w:val="Style21"/>
    <w:rPr>
      <w:rFonts w:ascii="Times New Roman" w:eastAsia="Times New Roman" w:hAnsi="Times New Roman" w:cs="Times New Roman"/>
      <w:b/>
      <w:bCs/>
      <w:i w:val="0"/>
      <w:iCs w:val="0"/>
      <w:smallCaps w:val="0"/>
      <w:strike w:val="0"/>
      <w:color w:val="1F1F1F"/>
      <w:sz w:val="12"/>
      <w:szCs w:val="12"/>
      <w:u w:val="none"/>
    </w:rPr>
  </w:style>
  <w:style w:type="character" w:customStyle="1" w:styleId="CharStyle24">
    <w:name w:val="Основной текст (7)_"/>
    <w:basedOn w:val="DefaultParagraphFont"/>
    <w:link w:val="Style23"/>
    <w:rPr>
      <w:rFonts w:ascii="Georgia" w:eastAsia="Georgia" w:hAnsi="Georgia" w:cs="Georgia"/>
      <w:b w:val="0"/>
      <w:bCs w:val="0"/>
      <w:i w:val="0"/>
      <w:iCs w:val="0"/>
      <w:smallCaps w:val="0"/>
      <w:strike w:val="0"/>
      <w:color w:val="EAEAEA"/>
      <w:sz w:val="13"/>
      <w:szCs w:val="13"/>
      <w:u w:val="none"/>
    </w:rPr>
  </w:style>
  <w:style w:type="character" w:customStyle="1" w:styleId="CharStyle27">
    <w:name w:val="Основной текст (3)_"/>
    <w:basedOn w:val="DefaultParagraphFont"/>
    <w:link w:val="Style26"/>
    <w:rPr>
      <w:rFonts w:ascii="Arial" w:eastAsia="Arial" w:hAnsi="Arial" w:cs="Arial"/>
      <w:b w:val="0"/>
      <w:bCs w:val="0"/>
      <w:i w:val="0"/>
      <w:iCs w:val="0"/>
      <w:smallCaps w:val="0"/>
      <w:strike w:val="0"/>
      <w:color w:val="1F1F1F"/>
      <w:sz w:val="13"/>
      <w:szCs w:val="13"/>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140" w:line="278" w:lineRule="auto"/>
      <w:jc w:val="center"/>
    </w:pPr>
    <w:rPr>
      <w:rFonts w:ascii="Times New Roman" w:eastAsia="Times New Roman" w:hAnsi="Times New Roman" w:cs="Times New Roman"/>
      <w:b w:val="0"/>
      <w:bCs w:val="0"/>
      <w:i w:val="0"/>
      <w:iCs w:val="0"/>
      <w:smallCaps w:val="0"/>
      <w:strike w:val="0"/>
      <w:color w:val="48629A"/>
      <w:sz w:val="16"/>
      <w:szCs w:val="16"/>
      <w:u w:val="none"/>
    </w:rPr>
  </w:style>
  <w:style w:type="paragraph" w:customStyle="1" w:styleId="Style8">
    <w:name w:val="Основной текст (5)"/>
    <w:basedOn w:val="Normal"/>
    <w:link w:val="CharStyle9"/>
    <w:pPr>
      <w:widowControl w:val="0"/>
      <w:shd w:val="clear" w:color="auto" w:fill="auto"/>
      <w:spacing w:after="220"/>
      <w:jc w:val="center"/>
    </w:pPr>
    <w:rPr>
      <w:rFonts w:ascii="Times New Roman" w:eastAsia="Times New Roman" w:hAnsi="Times New Roman" w:cs="Times New Roman"/>
      <w:b/>
      <w:bCs/>
      <w:i w:val="0"/>
      <w:iCs w:val="0"/>
      <w:smallCaps w:val="0"/>
      <w:strike w:val="0"/>
      <w:color w:val="48629A"/>
      <w:sz w:val="19"/>
      <w:szCs w:val="19"/>
      <w:u w:val="none"/>
    </w:rPr>
  </w:style>
  <w:style w:type="paragraph" w:customStyle="1" w:styleId="Style11">
    <w:name w:val="Основной текст (6)"/>
    <w:basedOn w:val="Normal"/>
    <w:link w:val="CharStyle12"/>
    <w:pPr>
      <w:widowControl w:val="0"/>
      <w:shd w:val="clear" w:color="auto" w:fill="auto"/>
      <w:jc w:val="center"/>
    </w:pPr>
    <w:rPr>
      <w:rFonts w:ascii="Times New Roman" w:eastAsia="Times New Roman" w:hAnsi="Times New Roman" w:cs="Times New Roman"/>
      <w:b w:val="0"/>
      <w:bCs w:val="0"/>
      <w:i w:val="0"/>
      <w:iCs w:val="0"/>
      <w:smallCaps w:val="0"/>
      <w:strike w:val="0"/>
      <w:sz w:val="22"/>
      <w:szCs w:val="22"/>
      <w:u w:val="none"/>
    </w:rPr>
  </w:style>
  <w:style w:type="paragraph" w:customStyle="1" w:styleId="Style14">
    <w:name w:val="Основной текст"/>
    <w:basedOn w:val="Normal"/>
    <w:link w:val="CharStyle15"/>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Заголовок №1"/>
    <w:basedOn w:val="Normal"/>
    <w:link w:val="CharStyle18"/>
    <w:pPr>
      <w:widowControl w:val="0"/>
      <w:shd w:val="clear" w:color="auto" w:fill="auto"/>
      <w:spacing w:after="460"/>
      <w:outlineLvl w:val="0"/>
    </w:pPr>
    <w:rPr>
      <w:rFonts w:ascii="Arial" w:eastAsia="Arial" w:hAnsi="Arial" w:cs="Arial"/>
      <w:b w:val="0"/>
      <w:bCs w:val="0"/>
      <w:i w:val="0"/>
      <w:iCs w:val="0"/>
      <w:smallCaps w:val="0"/>
      <w:strike w:val="0"/>
      <w:sz w:val="38"/>
      <w:szCs w:val="38"/>
      <w:u w:val="none"/>
    </w:rPr>
  </w:style>
  <w:style w:type="paragraph" w:customStyle="1" w:styleId="Style21">
    <w:name w:val="Основной текст (4)"/>
    <w:basedOn w:val="Normal"/>
    <w:link w:val="CharStyle22"/>
    <w:pPr>
      <w:widowControl w:val="0"/>
      <w:shd w:val="clear" w:color="auto" w:fill="auto"/>
      <w:spacing w:after="120"/>
    </w:pPr>
    <w:rPr>
      <w:rFonts w:ascii="Times New Roman" w:eastAsia="Times New Roman" w:hAnsi="Times New Roman" w:cs="Times New Roman"/>
      <w:b/>
      <w:bCs/>
      <w:i w:val="0"/>
      <w:iCs w:val="0"/>
      <w:smallCaps w:val="0"/>
      <w:strike w:val="0"/>
      <w:color w:val="1F1F1F"/>
      <w:sz w:val="12"/>
      <w:szCs w:val="12"/>
      <w:u w:val="none"/>
    </w:rPr>
  </w:style>
  <w:style w:type="paragraph" w:customStyle="1" w:styleId="Style23">
    <w:name w:val="Основной текст (7)"/>
    <w:basedOn w:val="Normal"/>
    <w:link w:val="CharStyle24"/>
    <w:pPr>
      <w:widowControl w:val="0"/>
      <w:shd w:val="clear" w:color="auto" w:fill="auto"/>
      <w:spacing w:after="120"/>
      <w:jc w:val="center"/>
    </w:pPr>
    <w:rPr>
      <w:rFonts w:ascii="Georgia" w:eastAsia="Georgia" w:hAnsi="Georgia" w:cs="Georgia"/>
      <w:b w:val="0"/>
      <w:bCs w:val="0"/>
      <w:i w:val="0"/>
      <w:iCs w:val="0"/>
      <w:smallCaps w:val="0"/>
      <w:strike w:val="0"/>
      <w:color w:val="EAEAEA"/>
      <w:sz w:val="13"/>
      <w:szCs w:val="13"/>
      <w:u w:val="none"/>
    </w:rPr>
  </w:style>
  <w:style w:type="paragraph" w:customStyle="1" w:styleId="Style26">
    <w:name w:val="Основной текст (3)"/>
    <w:basedOn w:val="Normal"/>
    <w:link w:val="CharStyle27"/>
    <w:pPr>
      <w:widowControl w:val="0"/>
      <w:shd w:val="clear" w:color="auto" w:fill="auto"/>
      <w:ind w:left="2900"/>
    </w:pPr>
    <w:rPr>
      <w:rFonts w:ascii="Arial" w:eastAsia="Arial" w:hAnsi="Arial" w:cs="Arial"/>
      <w:b w:val="0"/>
      <w:bCs w:val="0"/>
      <w:i w:val="0"/>
      <w:iCs w:val="0"/>
      <w:smallCaps w:val="0"/>
      <w:strike w:val="0"/>
      <w:color w:val="1F1F1F"/>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footer" Target="footer4.xml"/></Relationships>
</file>