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2224/25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«Промтехресурс» рго1п1ех1А'М11У.1е11с1е1@1паП.П1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эндокринологии»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604" w:bottom="621" w:left="1140" w:header="0" w:footer="3" w:gutter="0"/>
          <w:pgNumType w:start="1"/>
          <w:cols w:num="2" w:space="131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хакирку@епдосппсеп1т.ги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7" w:after="7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16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077/06/106-684/2025 о нарушении</w:t>
        <w:br/>
        <w:t>законодательства о контрактной системе</w:t>
        <w:br/>
        <w:t>22.01.2025</w:t>
        <w:tab/>
        <w:t>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эндокринологии» Минздрава России: Лазуткина Д.А. (по доверенности № 39 от 22.04.2024);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«Промтехресурс», о времени и порядке заседания Комиссии Управления уведомлены надлежащим образом посредством функционала единой информационной системы,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«Промтехресурс» (далее — Заявитель) на действия ФГБУ «НМИЦ эндокринологии» Минздрава России (далее — Заказчик) при проведении электронного аукциона на право заключения контракта на поставку светодиодных и люминесцентных ламп для обеспечения электроосвещения в ФГБУ «НМИЦ эндокринологии» Минздрава России (Закупка №0373100059324000689) (далее - аукцион) в соответствии с Федеральным законом от 05.04.2013 №44-ФЗ «О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2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12"/>
        </w:rPr>
        <w:t>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посредством функционала Единой информационной системы.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240" w:line="288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41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2025-2535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описанию объекта закупки, Заказчиком установлены требования к закупаемым товарам,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2 «Лампы накаливания или газоразрядные лампы; дуговые лампы; светодиодные лампы. Идентификатор: 170122544», КТРУ 27.40.10.00000000001;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6 «Лампа светодиодная. Идентификатор: 170122089, КТРУ 27.40.15.150</w:t>
        <w:softHyphen/>
        <w:t>00000001»;</w:t>
      </w:r>
    </w:p>
    <w:tbl>
      <w:tblPr>
        <w:tblOverlap w:val="never"/>
        <w:jc w:val="center"/>
        <w:tblLayout w:type="fixed"/>
      </w:tblPr>
      <w:tblGrid>
        <w:gridCol w:w="9341"/>
        <w:gridCol w:w="898"/>
      </w:tblGrid>
      <w:tr>
        <w:trPr>
          <w:trHeight w:val="3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10 «Лампа люминесцентная. Идентификатор: 169978468»,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11 «Лампа люминесцентная. Идентификатор: 169978498», 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13 «Лампа люминесцентная. Идентификатор: 169977332», 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14 «Лампа люминесцентная. Идентификатор: 169978686», 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15 «Лампа светодиодная. Идентификатор: 169978687», 27.40.15.150-00000002;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17 «Лампа светодиодная. Идентификатор: 169978809», 27.40.15.150-00000002;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18 «Лампа люминесцентная. Идентификатор: 169978572», 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19 «Лампа люминесцентная. Идентификатор: 169978172», 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20 «Лампа люминесцентная. Идентификатор: 169978248», 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 21 «Лампа люминесцентная. Идентификатор: 169978265», 27.40.15.114-00000001;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КТРУ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tabs>
          <w:tab w:pos="1082" w:val="left"/>
          <w:tab w:pos="1644" w:val="left"/>
          <w:tab w:pos="2858" w:val="left"/>
          <w:tab w:pos="5260" w:val="left"/>
          <w:tab w:pos="7679" w:val="left"/>
          <w:tab w:pos="93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</w:t>
        <w:tab/>
        <w:t>23</w:t>
        <w:tab/>
        <w:t>«Лампа</w:t>
        <w:tab/>
        <w:t>люминесцентная.</w:t>
        <w:tab/>
        <w:t>Идентификатор:</w:t>
        <w:tab/>
        <w:t>169978365»,</w:t>
        <w:tab/>
        <w:t>КТРУ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27.40.15.114-00000001;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082" w:val="left"/>
          <w:tab w:pos="1654" w:val="left"/>
          <w:tab w:pos="2858" w:val="left"/>
          <w:tab w:pos="5260" w:val="left"/>
          <w:tab w:pos="7679" w:val="left"/>
          <w:tab w:pos="93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</w:t>
        <w:tab/>
        <w:t>24</w:t>
        <w:tab/>
        <w:t>«Лампа</w:t>
        <w:tab/>
        <w:t>люминесцентная.</w:t>
        <w:tab/>
        <w:t>Идентификатор:</w:t>
        <w:tab/>
        <w:t>169978395»,</w:t>
        <w:tab/>
        <w:t>КТРУ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27.40.15.114-00000001.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неправомерные положения извещения о проведении закупки, описания объекта закупки, а также неправомерную цену закупаемых товаров: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«15.Люминесцентная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 Лампа Светодиодная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Лампа люминесцентная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.Лампа Светодиодная Данная лампа не является эллипсоидной.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.Лампа Светодиодная Данная лампа при заданном диаметре имеет форму шар.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Лампа Светодиодная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 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6.Люминесцентная лампа цена низкая в НМЦК.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 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 .Люминесцентная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 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14.Люминесцентная лампа.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 Двухцокольная является одноцокольной, цена, заявленная в НМЦК ниже закупочной цены лампа, представленных на рынке».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что, например, обжалуемый Заявителем товар по п. 15 «Лампа светодиодная. Идентификатор: 169978687» описания объекта закупки закупается Заказчиком в соответствии с позицией КТРУ 27.40.15.150-00000002.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 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9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9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9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9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9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4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случаев, установленных пп. «а», «б» п.5 Правил использования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 Заказчиком по п. 15 «Лампа светодиодная. Идентификатор: 169978687», КТРУ 27.40.15.150-00000002 описания объекта закупки» установлены следующие требования: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Длина: &gt;100 и &lt;150 Миллиметр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тах: &lt; 4000 Кельвин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Диаметр: &gt;40 и &lt; 50 Миллиметр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энергетической эффективности: не ниже А+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Лампа матовая: 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Форма лампы: Эллипсоидная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Световой поток: &gt; 1000 и &lt; 1500 Люмен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тт: &gt;3500 Кельвин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цоколя: Е27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Номинальная мощность: &gt; 10 и &lt;15 Ватт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лампы: Одноцокольная.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позиция КТРУ 27.40.15.150</w:t>
        <w:softHyphen/>
        <w:t>00000002 «Лампа светодиодная» включает, в том числе следующие обязательные характеристики для применения: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тах: &lt; 4000 Кельвин;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Номинальная мощность: &gt; 10 и &lt; 15 Ватт;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лампы: Одноцокольная;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цоколя: Е27.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позиция КТРУ 27.40.15.150</w:t>
        <w:softHyphen/>
        <w:t>00000002 также содержит характеристики, которые не являются обязательными для применения,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Длина: &gt; 100 и &lt; 150 Миллиметр;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тах: &lt; 4000 Кельвин;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Диаметр: &gt; 40 и &lt; 50 Миллиметр;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энергетической эффективности: не ниже А+;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Лампа матовая: Да;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Форма лампы: Эллипсоидная;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Световой поток: &gt; 1000 и &lt; 1500 Люмен;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шт: &gt;3500 Кельвин;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4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152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закупаемый товар по п. 15 «Лампа светодиодная. Идентификатор: 169978687» описан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соответствии с позицией КТРУ 27.40.15.150-00000002, аналогично по п. 17 «Лампа светодиодная. Идентификатор: 169978809».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для закупаемого товара по п. 19 «Лампа люминесцентная. Идентификатор: 169978172», КТРУ 27.40.15.114</w:t>
        <w:softHyphen/>
        <w:t>00000001 Заказчиком в описании закупки установлены следующие требования: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Длина: &gt; 850 и &lt; 900 Миллиметр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энергетической эффективности: не ниже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Лампа матовая: 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Диаметр: &gt; 25 и &lt; 3 Миллиметр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Световой поток: &gt; 2000 и &lt; 2500 Люмен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тт: &gt; 6500 Кельвин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тах: &lt; 6500 Кельвин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цоколя: 013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Номинальная мощность: &gt; 30 и &lt; 35 Ватт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лампы: Двухцокольная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позиция КТРУ 27.40.15.114</w:t>
        <w:softHyphen/>
        <w:t>00000001 «Лампа люминесцентная» включает, в том числе следующие обязательные характеристики для применения: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тах: &lt; 6500 Кельвин;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Номинальная мощность: &gt; 30 и &lt; 35 Ватт;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лампы: Двухцокольная;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цоколя: 013.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позиция КТРУ 27.40.15.114</w:t>
        <w:softHyphen/>
        <w:t>00000001 также содержит характеристики, которые не являются обязательными для применения,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Длина: &gt; 850 и &lt; 900 Миллиметр;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энергетической эффективности: не ниже В;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Лампа матовая: Да;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Диаметр: &gt; 25 и &lt; 3 Миллиметр;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Световой поток: &gt; 2000 и &lt; 2500 Люмен;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Коррелированная цветовая температура, шт: &gt; 6500 Кельвин.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что закупаемый товар п. 19 «Лампа светодиодная. Идентификатор: 169978172» описан Заказчиком в соответствии с позицией КТРУ 27.40.15.114-00000001, аналогично по пп. 10, 11, 13, 14, 18, 20, 21, 23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наименование вышеуказанных позиций в составе жалобы не соответствуют описанию объекта закупки в структурированной форме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2"/>
          <w:szCs w:val="22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Обязанность доказывания нарушения Заказчиком своих прав и законных интересов лежит на подателе жалобы, однако, на заседании Комиссии Управления представитель Заказчика участие не принял, а также в составе жалобы Заявителем не представлено документов и сведений, свидетельствующих об ограничении количества участников закупки и о нарушении Заказчиком норм законодательства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2025-2535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доводы Заявителя не нашли своего подтверждения и являются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составе жалобы Заявитель указывает, что, в том числе по пп. 2 «Лампы накаливания или газоразрядные лампы; дуговые лампы; светодиодные лампы. Идентификатор: 170122544», 6 «Лампа светодиодная. Идентификатор: 170122089» цена, заявленная Заказчиком в НМЦК ниже закупочной цены представленной на рынке.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ст.99 Закона о контрактной системе ФАС России осуществляет контроль в сфере закупок, за исключением контроля, предусмотренного частями 5, 8 и 10 статьи 99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 ч.8 ст.99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заключаемого с единственным поставщиком (подрядчиком, исполнителем), включенной в план-график, осуществляют органы внутреннего государственного (муниципального) финансового контроля.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ч.9 ст.99 Закона о контрактной системе контроль в сфере закупок в соответствии с ч.8 ст.99 Закона о контрактной системе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настоящим Федеральным законом,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контроля, являющимся органом (должностными лицами) исполнительной власти субъекта Российской Федерации, в отношении закупок для обеспечения нужд субъекта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рассмотрение жалобы участника закупки на предмет правомерности обоснования и расчета начальной (максимальной) цены контракта не относится к компетенции Московского УФАС России, в связи с чем не подлежит рассмотрению.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«Промтехресурс» на действия ФГБУ «НМИЦ эндокринологии» Минздрава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жалобы в части определения начальной (максимальной) цены контракта оставить без рассмотрения на основании п.3 ч.8 ст.99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2285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870" distL="0" distR="0" simplePos="0" relativeHeight="12582937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533400</wp:posOffset>
                </wp:positionV>
                <wp:extent cx="185039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850000000000001pt;margin-top:42.pt;width:145.70000000000002pt;height:19.900000000000002pt;z-index:-125829375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0" behindDoc="0" locked="0" layoutInCell="1" allowOverlap="1">
            <wp:simplePos x="0" y="0"/>
            <wp:positionH relativeFrom="page">
              <wp:posOffset>3090545</wp:posOffset>
            </wp:positionH>
            <wp:positionV relativeFrom="paragraph">
              <wp:posOffset>606425</wp:posOffset>
            </wp:positionV>
            <wp:extent cx="353695" cy="53657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3547745</wp:posOffset>
                </wp:positionH>
                <wp:positionV relativeFrom="paragraph">
                  <wp:posOffset>1009015</wp:posOffset>
                </wp:positionV>
                <wp:extent cx="1283335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9.35000000000002pt;margin-top:79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3505200</wp:posOffset>
                </wp:positionH>
                <wp:positionV relativeFrom="paragraph">
                  <wp:posOffset>697865</wp:posOffset>
                </wp:positionV>
                <wp:extent cx="1722120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6.pt;margin-top:54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870" distL="0" distR="0" simplePos="0" relativeHeight="125829381" behindDoc="0" locked="0" layoutInCell="1" allowOverlap="1">
                <wp:simplePos x="0" y="0"/>
                <wp:positionH relativeFrom="page">
                  <wp:posOffset>6178550</wp:posOffset>
                </wp:positionH>
                <wp:positionV relativeFrom="paragraph">
                  <wp:posOffset>533400</wp:posOffset>
                </wp:positionV>
                <wp:extent cx="1029970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86.5pt;margin-top:42.pt;width:81.100000000000009pt;height:19.900000000000002pt;z-index:-125829372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000590946031СЕ073ВЕ5С5О6РЕ7501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9" w:right="536" w:bottom="228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870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7.850000000000001pt;margin-top:9.pt;width:105.60000000000001pt;height:19.900000000000002pt;z-index:-125829370;mso-wrap-distance-left:0;mso-wrap-distance-top:9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5" behindDoc="0" locked="0" layoutInCell="1" allowOverlap="1">
            <wp:simplePos x="0" y="0"/>
            <wp:positionH relativeFrom="page">
              <wp:posOffset>3090545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3547745</wp:posOffset>
                </wp:positionH>
                <wp:positionV relativeFrom="paragraph">
                  <wp:posOffset>589915</wp:posOffset>
                </wp:positionV>
                <wp:extent cx="1283335" cy="1035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9.35000000000002pt;margin-top:4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3505200</wp:posOffset>
                </wp:positionH>
                <wp:positionV relativeFrom="paragraph">
                  <wp:posOffset>278765</wp:posOffset>
                </wp:positionV>
                <wp:extent cx="1722120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6.pt;margin-top:21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870" distL="0" distR="0" simplePos="0" relativeHeight="125829386" behindDoc="0" locked="0" layoutInCell="1" allowOverlap="1">
                <wp:simplePos x="0" y="0"/>
                <wp:positionH relativeFrom="page">
                  <wp:posOffset>5843270</wp:posOffset>
                </wp:positionH>
                <wp:positionV relativeFrom="paragraph">
                  <wp:posOffset>114300</wp:posOffset>
                </wp:positionV>
                <wp:extent cx="1353185" cy="2527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0.10000000000002pt;margin-top:9.pt;width:106.55pt;height:19.900000000000002pt;z-index:-125829367;mso-wrap-distance-left:0;mso-wrap-distance-top:9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2Е366ЕОЗСЕЕ902Э8968РА4В2С7Э60465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3090545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3547745</wp:posOffset>
                </wp:positionH>
                <wp:positionV relativeFrom="paragraph">
                  <wp:posOffset>453390</wp:posOffset>
                </wp:positionV>
                <wp:extent cx="1283335" cy="103505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9.35000000000002pt;margin-top:35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3505200</wp:posOffset>
                </wp:positionH>
                <wp:positionV relativeFrom="paragraph">
                  <wp:posOffset>142240</wp:posOffset>
                </wp:positionV>
                <wp:extent cx="1722120" cy="255905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76.pt;margin-top:11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00803Е81769СЕ8688001Е612СЗС6В74577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36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32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2025-2535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2025-2535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2025-2535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100000000000001pt;margin-top:794.70000000000005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2025-2535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2025-2535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100000000000001pt;margin-top:794.70000000000005pt;width:50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2025-2535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0000000000002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16.550000000000001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0000000000002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9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23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Друго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1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Другое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93939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