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164080" distL="1174750" distR="1059815" simplePos="0" relativeHeight="125829378" behindDoc="0" locked="0" layoutInCell="1" allowOverlap="1">
            <wp:simplePos x="0" y="0"/>
            <wp:positionH relativeFrom="page">
              <wp:posOffset>1781810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721360</wp:posOffset>
                </wp:positionH>
                <wp:positionV relativeFrom="paragraph">
                  <wp:posOffset>622300</wp:posOffset>
                </wp:positionV>
                <wp:extent cx="2517775" cy="216090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17775" cy="2160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1о77@Га8.еоу.ги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3" w:val="left"/>
                              </w:tabs>
                              <w:bidi w:val="0"/>
                              <w:spacing w:before="0" w:after="320" w:line="240" w:lineRule="auto"/>
                              <w:ind w:left="0" w:right="0" w:firstLine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27.01.2025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 2836/25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800000000000004pt;margin-top:49.pt;width:198.25pt;height:170.15000000000001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1о77@Га8.еоу.ги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3" w:val="left"/>
                        </w:tabs>
                        <w:bidi w:val="0"/>
                        <w:spacing w:before="0" w:after="320" w:line="240" w:lineRule="auto"/>
                        <w:ind w:left="0" w:right="0" w:firstLine="0"/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27.01.2025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ab/>
                        <w:t>№ 2836/25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«Сбербанк-АСТ» ко@8ЪегЪапк-а8!.ги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«АЗК Строй Групп» т16@ахк8д.ги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80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МГТУ им. Н.Э. Баумана одрг@Ът8Ш.ги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  <w:br/>
        <w:t>по делу №077/06/106-873/2025 о нарушении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67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22.01.2025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Заместителя начальника отдела обжалования государственных закупок Е.А. Мироновой,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государственного инспектора отдела обжалования государственных закупок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Е.Д. Мартьяновой,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видеоконференц-связи),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09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«АЗК Строй Групп»: Дидоренко В.В. (Приказ №7 от 22.09.2021),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0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МГТУ им. Н.Э. Баумана: Пахомова К.Н. (по доверенности от 14.01.2025 №253),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«АЗК Строй Групп» (далее — Заявитель) на действия МГТУ им. Н.Э. Баумана (далее — Заказчик) при проведении электронного аукциона на право заключения государственного контракта на Техническое обслуживание и ремонт автоматических систем противопожарной защиты, и инженерных систем безопасности на объектах МГТУ им. Н.Э. Баумана (Закупка № 0373100076524000571) (далее — аукцион),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системе),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комиссии по осуществлению закупок Заказчика при проведении вышеуказанного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комиссией по осуществлению закупок Заказчика нарушены нормы Закона о контрактной системе в результате отклонения заявки Заявителя.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протоколу подведения итогов определения поставщика (подрядчика, исполнителя) от 15.01.2025 №ИЭА1 заявка Заявителя, с идентификационным номером заявки 44, отклонена комиссией по осуществлению закупок Заказчика на следующем основании: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«(п.3 ч.12 ст. 48) - несоответствие участника закупки требованиям в соответствии с ч.1 ст. 31 Закона 44-ФЗ, в соответствии с ч.1.1, 2 и 2.1 ст. 31 Закона 44-ФЗ (Несоответствие информации и документов, подтверждающих соответствие участника закупки дополнительным требованиям установленным в соответствии с ПП РФ от 29.12.2021 № 2571. Участником не предоставлен исполненный контракт (договор) подтверждающий соответствие участника закупки дополнительным требованиям установленным в соответствии с ПП РФ от 29.12.2021 № 2571.)»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ч.2 ст.31 Закона о контрактной системе Правительство Российской Федерации вправе устанавливать к участникам закупок отдельных видов товаров, работ, услуг дополнительные требования, в том числе к наличию опыта работы, связанного с предметом контракта, и деловой репутации.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ч.3 ст.31 Закона о контрактной системе перечень информации и документов, которые подтверждают соответствие участников закупок дополнительным требованиям, указанным в ч.2 и 2.1 ст.31 Закона о контрактной системе, устанавливается Правительством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Согласно ч.4 ст.31 Закона о контрактной системе в случае установления Правительством Российской Федерации в соответствии с ч.2 ст.31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2025-3313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пп.«а» п.1 постановления Правительства РФ от 29.12.2021 №2571 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 (далее — Постановление №2571) установлено, что к участникам закупки отдельных видов товаров, работ, услуг предъявляются дополнительные требования согласно приложению «Дополнительные требования к участникам закупки отдельных видов товаров, работ, услуг, участникам отдельных видов закупок товаров, работ, услуг для обеспечения государственных и муниципальных нужд» (далее — Приложение). Соответствие участников закупки указанным дополнительным требованиям подтверждается информацией и документами, предусмотренными Приложением.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пп.«а» п.3 Постановления №2571 положения Постановления №2571 применяются при проведении конкурентных способов определения поставщиков (подрядчиков, исполнителей), при этом: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98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позиция Приложения применяется с учетом положений п.3 Постановления №2571 в случае, если объект закупки включает один или несколько закупаемых товаров, работ, услуг, указанных в приложении в соответствующей позиции графы «Наименование отдельных видов товаров, работ, услуг, являющихся объектом закупки, наименование товаров, работ, услуг, являющихся объектом отдельных видов закупок» вне зависимости от сферы осуществления деятельности заказчика;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98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позиции 14, 15 и 36 Приложения применяются в случае, если при осуществлении закупки начальная (максимальная) цена контракта превышает 1 млн. рублей.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п.14 Приложения при проведении закупочной процедуры объектом которой являются работы, услуги по техническому обслуживанию зданий, сооружений к участникам закупочной процедуры предъявляются дополнительные требования о наличие опыта исполнения участником закупки договора, предусматривающего выполнение работ, оказание услуг по техническому обслуживанию зданий, сооружений.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п.5 ч.1 ст.42 Закона о контрактной системе извещение об осуществлении закупки должно содержать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ч.6 ст.23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0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Согласно п.9 ч.1 ст.42 Закона о контрактной системе извещение об осуществлении закупки должно содержать информацию о начальной (максимальной) цене контракта (цена отдельных этапов исполнения контракта, если проектом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2025-3313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контракта предусмотрены такие этапы), источнике финансирования, наименовании валюты в соответствии с общероссийским классификатором валют. В случае, предусмотренном ч.24 ст.22 Закона о контрактной системе, указываются начальная цена единицы товара, работы, услуги, а также начальная сумма цен указанных единиц и максимальное значение цены контракта. В случаях, установленных Правительством Российской Федерации в соответствии с ч.2 ст.34 Закона о контрактной системе, указываются ориентировочное значение цены контракта либо формула цены и максимальное значение цены контракта.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что, согласно извещению об осуществлении закупки, объектом закупочной процедуры является техническое обслуживание и ремонт автоматических систем противопожарной защиты,и инженерных систем безопасности на объектах МГТУ им. Н.Э. Баумана, начальная (максимальная) цена контракта составляет 50 140 255,92 руб., при этом Заказчиком установлены дополнительные требования к участникам закупки в соответствии с п.14 Приложения в составе извещения Заказчиком.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п.3 ч.6 ст.43 Закона о контрактной системе при проведении электронных процедур документы, подтверждающие соответствие участника закупки дополнительным требованиям, установленным в соответствии с ч.2 или 2.1 (при наличии таких требований) ст.31 Закона о контрактной системе, и предусмотренные пп.«н» п.1 ч.1 ст.43 Закона о контрактной системе, не включаются участником закупки в заявку на участие в закупке. Такие документы в случаях, предусмотренных Законом о контрактной системе, направляются (по состоянию на дату и время их направления) заказчику оператором электронной площадки из реестра участников закупок, аккредитованных на электронной площадке.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что, в рамках п.3 ч.6 ст.43 Закона о контрактной системе, оператором электронной площадки в том числе направлена реестровая запись 1772809483219000731.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пп.«а» п.1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п.4 ч.4 ст.49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пп.1 - 8 ч.12 ст.48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90" w:lineRule="auto"/>
        <w:ind w:left="0" w:right="0" w:firstLine="70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Согласно ч.12 ст.48 Закона о контрактной системе при рассмотрении вторых частей заявок на участие в закупке соответствующая заявка подлежит отклонению в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2025-3313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0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(за исключением случаев, предусмотренных Законом о контрактной системе)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п.2 и 3 ч.6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0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п.2 и 3 ч.6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0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осуществлении закупки в соответствии с ч.1 ст.31 Закона о контрактной системе, требованиям, установленным в извещении об осуществлении закупки в соответствии с ч.1.1, 2 и 2.1 (при наличии таких требований) статьи 31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0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ст.14 Закона о контрактной системе (за исключением случаев непредставления информации и документов, предусмотренных пунктом 5 части 1 ст.43 Закона о контрактной системе);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0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п.5 ч.1 ст.43 Закона о контрактной системе, если такие документы предусмотрены нормативными правовыми актами, принятыми в соответствии с ч.3 ст.14 Закона о контрактной системе (в случае установления в соответствии со ст.14 Закона о контрактной системе 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0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 пунктом 4 статьи 2 Федерального закона от 4 июня 2018 года №127-ФЗ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770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ч.6 ст.45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0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90" w:lineRule="auto"/>
        <w:ind w:left="0" w:right="0" w:firstLine="700"/>
        <w:jc w:val="both"/>
        <w:rPr>
          <w:sz w:val="24"/>
          <w:szCs w:val="24"/>
        </w:rPr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158" w:right="533" w:bottom="822" w:left="1095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На заседании Комиссии Управления представитель Заказчика пояснил, что контракт, представленный Заявителем №1772809483219000731 в качестве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2025-3313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подтверждения соответствия требованиям п.14 Приложения, не может считаться исполненным, так как, согласно сведениям единой информационной системы, цена представленного контракта составляет 20 859 627,50 рублей, а сумма исполненных обязательств составляет 18 559 719,73 рублей, делая вывод из вышесказанного, данный контракт недоисполнен на сумму 2 299 907,77 рублей.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Заявителя пояснил, что контракт по реестровой записи №1772809483219000731, заключенный 27.11.2019 с ФГБУ «Национальный медицинский исследовательский центр акушерства, гинекологии и перинатологии имени академика В.И. Кулакова» Министерства здравоохранения Российской Федерации, исполнен в полном объеме, о чем также свидетельствует запись в реестре контрактов «Исполнение завершено».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согласно п.1.3 данного контракта услуги оказываются с даты заключения контракта по 31.12.2021. При этом п. 3.4 контракта оплата производится Заказчиком ежемесячно в безналичной форме, путем перечисления денежных средств на расчетный счет Исполнителя на основании выставленного счета Исполнителя в течение 30 (Тридцати) дней с даты подписания обеими Сторонами Акта сдачи- приемки выполненных работ (оказанных услуг).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Заявителем представлены акты сдачи-приемки выполненных работ за весь период действия контракта. При этом представитель Заявителя пояснил, что поскольку часть актов составлялось без использования функционала единой информационной системы в сфере закупок они не подгружены и не отображаются в реестровой записи №1772809483219000731.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представитель Заявителя отметил, что данным контрактом предусмотрено ежемесячное оказание услуг, при этом из 26 составленных актов дачи-приемки выполненных работ (оказанных услуг) 25 актов составлены на сумму 802 293,36 руб., в то же время акт от ноября 2019 года, по которому услуги были оказаны в течении 4 дней составлен на сумму 106 972,45 руб., и общая стоимость оказанных услуг по контракту составила 20 164 306,45 руб.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 «Национальный медицинский исследовательский центр акушерства, гинекологии и перинатологии имени академика В.И. Кулакова» Министерства здравоохранения Российской Федерации приняты все услуги по контракту, каких- либо штрафов и пеней в отношении Заявителя назначено не было, что свидетельствует об исполнении контракта в полном объеме. Вместе с этим учреждение посчитало не целесообразным заключать какое-либо дополнительное соглашение об уменьшении цены контракта.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Комиссия Управления отмечает, что обязанность по размещению информации и документов об исполнении контракта в реестре контрактов возлагается на заказчика, с которым заключен такой контракт, договор. При этом у поставщика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(подрядчика, исполнителя) отсутствуют полномочия по размещению документов и информации в реестре контрактов и по внесению изменений в отношении статуса исполнения контракта в ЕИС, а также полномочия по размещению документов и информации в реестре контрактов.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по мнению Комиссии Управления, наличие в реестре контрактов информации о контракте со статусом «Исполнение завершено», а также неразмещение в реестре контрактов необходимых документов не свидетельствуют об отсутствии у участника закупки требуемого опыта оказания услуг в случае наличия в реестре участников закупки, аккредитованных на электронной площадке, полного перечня документов, предусмотренных Постановлением №2571.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Аналогичная позиция изложена в п.3 Письма ФАС России от 11.01.2024 №МШ/875/24 «По вопросам применения положений постановления Правительства Российской Федерации от 29.12.2021 №2571 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этом, из положений контракта №1772809483219000731, а также представленных Заявителем актов сдачи-приемки выполненных работ в составе заявки, напрямую следует факт исполнения контракта в полном объеме.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Комиссия Управления приходит к выводу о том, что решение комиссии по осуществлению закупок Заказчика в части отклонения заявки Заявителя, по основанию указанному в протоколе подведения итогов, принято в нарушение пп.«а» п.1 ч.5 ст.49 Закона о контрактной системе, что также свидетельствует о наличии в действиях комиссии по осуществлению закупок Заказчика признаков состава административного правонарушения, ответственность за которое предусмотрена ч.2 ст.7.30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42" w:bottom="1762" w:left="1105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 .Признать жалобу ООО «АЗК Строй Групп» на действия комиссии по осуществлению закупок МГТУ им. Н.Э. Баумана обоснованной.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2.Признать в действиях комиссии по осуществлению закупок Заказчика нарушение пп.«а» п.1 ч.5 ст.49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27" w:bottom="2684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42900" distB="203835" distL="0" distR="0" simplePos="0" relativeHeight="125829381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342900</wp:posOffset>
                </wp:positionV>
                <wp:extent cx="1850390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7.950000000000003pt;margin-top:27.pt;width:145.70000000000002pt;height:19.699999999999999pt;z-index:-125829372;mso-wrap-distance-left:0;mso-wrap-distance-top:27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34340" distB="0" distL="0" distR="1807210" simplePos="0" relativeHeight="125829383" behindDoc="0" locked="0" layoutInCell="1" allowOverlap="1">
            <wp:simplePos x="0" y="0"/>
            <wp:positionH relativeFrom="page">
              <wp:posOffset>3131820</wp:posOffset>
            </wp:positionH>
            <wp:positionV relativeFrom="paragraph">
              <wp:posOffset>434340</wp:posOffset>
            </wp:positionV>
            <wp:extent cx="311150" cy="36576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504190</wp:posOffset>
                </wp:positionV>
                <wp:extent cx="1725295" cy="2559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7.55000000000001pt;margin-top:39.700000000000003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42900" distB="203835" distL="0" distR="0" simplePos="0" relativeHeight="125829384" behindDoc="0" locked="0" layoutInCell="1" allowOverlap="1">
                <wp:simplePos x="0" y="0"/>
                <wp:positionH relativeFrom="page">
                  <wp:posOffset>6039485</wp:posOffset>
                </wp:positionH>
                <wp:positionV relativeFrom="paragraph">
                  <wp:posOffset>342900</wp:posOffset>
                </wp:positionV>
                <wp:extent cx="1182370" cy="2501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23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75.55000000000001pt;margin-top:27.pt;width:93.100000000000009pt;height:19.699999999999999pt;z-index:-125829369;mso-wrap-distance-left:0;mso-wrap-distance-top:27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Миронова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50505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Миронова Елена Александровна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505050"/>
          <w:spacing w:val="0"/>
          <w:w w:val="100"/>
          <w:position w:val="0"/>
          <w:shd w:val="clear" w:color="auto" w:fill="auto"/>
          <w:lang w:val="ru-RU" w:eastAsia="ru-RU" w:bidi="ru-RU"/>
        </w:rPr>
        <w:t>009Е4В25САЕ808О44Е0В7ВЕ0438СО1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>12В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>4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50505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21.03.2024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14.06.2025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880"/>
        <w:jc w:val="left"/>
      </w:pPr>
      <w:r>
        <w:drawing>
          <wp:anchor distT="0" distB="0" distL="114300" distR="1903730" simplePos="0" relativeHeight="125829386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3569970</wp:posOffset>
                </wp:positionH>
                <wp:positionV relativeFrom="paragraph">
                  <wp:posOffset>464185</wp:posOffset>
                </wp:positionV>
                <wp:extent cx="1280160" cy="1035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AEAEA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81.10000000000002pt;margin-top:36.550000000000004pt;width:100.8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AEAEA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7.5pt;margin-top:12.1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Кутейников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505050"/>
          <w:spacing w:val="0"/>
          <w:w w:val="100"/>
          <w:position w:val="0"/>
          <w:shd w:val="clear" w:color="auto" w:fill="auto"/>
          <w:lang w:val="ru-RU" w:eastAsia="ru-RU" w:bidi="ru-RU"/>
        </w:rPr>
        <w:t>526ССО2Е48634А0964757620Е6Е0АЕ90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95" w:line="240" w:lineRule="auto"/>
        <w:ind w:left="0" w:right="0" w:firstLine="880"/>
        <w:jc w:val="left"/>
      </w:pPr>
      <w:r>
        <w:drawing>
          <wp:anchor distT="0" distB="0" distL="114300" distR="1903730" simplePos="0" relativeHeight="125829387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3695" cy="40259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3695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7.55000000000001pt;margin-top:12.20000000000000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Мартьянова</w:t>
      </w:r>
    </w:p>
    <w:p>
      <w:pPr>
        <w:pStyle w:val="Style22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Мартьянова Елена Дмитриевна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D3D3D"/>
          <w:spacing w:val="0"/>
          <w:w w:val="100"/>
          <w:position w:val="0"/>
          <w:shd w:val="clear" w:color="auto" w:fill="auto"/>
          <w:lang w:val="ru-RU" w:eastAsia="ru-RU" w:bidi="ru-RU"/>
        </w:rPr>
        <w:t>009ЕС1900А00830С593ЕЕ489Е44Е6А415</w:t>
      </w:r>
      <w:r>
        <w:rPr>
          <w:color w:val="3D3D3D"/>
          <w:spacing w:val="0"/>
          <w:w w:val="100"/>
          <w:position w:val="0"/>
          <w:shd w:val="clear" w:color="auto" w:fill="auto"/>
          <w:lang w:val="ru-RU" w:eastAsia="ru-RU" w:bidi="ru-RU"/>
        </w:rPr>
        <w:t>7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152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3D3D3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21.01.2025 по 16.04.2026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Исп.Кутейников А.А.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619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10217150</wp:posOffset>
              </wp:positionV>
              <wp:extent cx="64008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00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2025-3313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800000000000004pt;margin-top:804.5pt;width:50.3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2025-3313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9665970</wp:posOffset>
              </wp:positionV>
              <wp:extent cx="64643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2025-3313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200000000000003pt;margin-top:761.10000000000002pt;width:50.899999999999999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2025-3313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3929380</wp:posOffset>
              </wp:positionH>
              <wp:positionV relativeFrom="page">
                <wp:posOffset>476250</wp:posOffset>
              </wp:positionV>
              <wp:extent cx="67310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40000000000003pt;margin-top:37.5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3930015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9.44999999999999pt;margin-top:37.5pt;width:4.54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Колонтитул (2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4">
    <w:name w:val="Заголовок №1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8">
    <w:name w:val="Подпись к картинке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character" w:customStyle="1" w:styleId="CharStyle23">
    <w:name w:val="Основной текст (4)_"/>
    <w:basedOn w:val="DefaultParagraphFont"/>
    <w:link w:val="Style2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5">
    <w:name w:val="Основной текст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6A6A6A"/>
      <w:sz w:val="12"/>
      <w:szCs w:val="12"/>
      <w:u w:val="none"/>
    </w:rPr>
  </w:style>
  <w:style w:type="character" w:customStyle="1" w:styleId="CharStyle31">
    <w:name w:val="Основной текст (5)_"/>
    <w:basedOn w:val="DefaultParagraphFont"/>
    <w:link w:val="Style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Колонтитул (2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3">
    <w:name w:val="Заголовок №1"/>
    <w:basedOn w:val="Normal"/>
    <w:link w:val="CharStyle14"/>
    <w:pPr>
      <w:widowControl w:val="0"/>
      <w:shd w:val="clear" w:color="auto" w:fill="auto"/>
      <w:spacing w:after="32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7">
    <w:name w:val="Подпись к картинке"/>
    <w:basedOn w:val="Normal"/>
    <w:link w:val="CharStyle18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paragraph" w:customStyle="1" w:styleId="Style22">
    <w:name w:val="Основной текст (4)"/>
    <w:basedOn w:val="Normal"/>
    <w:link w:val="CharStyle23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4">
    <w:name w:val="Основной текст (2)"/>
    <w:basedOn w:val="Normal"/>
    <w:link w:val="CharStyle25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A6A6A"/>
      <w:sz w:val="12"/>
      <w:szCs w:val="12"/>
      <w:u w:val="none"/>
    </w:rPr>
  </w:style>
  <w:style w:type="paragraph" w:customStyle="1" w:styleId="Style30">
    <w:name w:val="Основной текст (5)"/>
    <w:basedOn w:val="Normal"/>
    <w:link w:val="CharStyle31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/Relationships>
</file>