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40" w:lineRule="auto"/>
        <w:ind w:left="0" w:right="0" w:firstLine="0"/>
        <w:jc w:val="center"/>
        <w:rPr>
          <w:sz w:val="17"/>
          <w:szCs w:val="17"/>
        </w:rPr>
      </w:pPr>
      <w:r>
        <w:rPr>
          <w:b/>
          <w:bCs/>
          <w:color w:val="4D608C"/>
          <w:spacing w:val="0"/>
          <w:w w:val="100"/>
          <w:position w:val="0"/>
          <w:sz w:val="17"/>
          <w:szCs w:val="17"/>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rPr>
          <w:sz w:val="17"/>
          <w:szCs w:val="17"/>
        </w:rPr>
      </w:pPr>
      <w:r>
        <w:rPr>
          <w:b/>
          <w:bCs/>
          <w:color w:val="4D608C"/>
          <w:spacing w:val="0"/>
          <w:w w:val="100"/>
          <w:position w:val="0"/>
          <w:sz w:val="17"/>
          <w:szCs w:val="17"/>
          <w:shd w:val="clear" w:color="auto" w:fill="auto"/>
          <w:lang w:val="ru-RU" w:eastAsia="ru-RU" w:bidi="ru-RU"/>
        </w:rPr>
        <w:t>АНТИМОНОПОЛЬНАЯ СЛУЖБА</w:t>
      </w:r>
    </w:p>
    <w:p>
      <w:pPr>
        <w:pStyle w:val="Style8"/>
        <w:keepNext w:val="0"/>
        <w:keepLines w:val="0"/>
        <w:widowControl w:val="0"/>
        <w:shd w:val="clear" w:color="auto" w:fill="auto"/>
        <w:bidi w:val="0"/>
        <w:spacing w:before="0" w:after="0"/>
        <w:ind w:left="0" w:right="0" w:firstLine="0"/>
        <w:jc w:val="lef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1206" w:right="2879" w:bottom="1217" w:left="1764" w:header="0" w:footer="3" w:gutter="0"/>
          <w:pgNumType w:start="1"/>
          <w:cols w:num="2" w:space="720" w:equalWidth="0">
            <w:col w:w="2899" w:space="1747"/>
            <w:col w:w="2611"/>
          </w:cols>
          <w:noEndnote/>
          <w:titlePg/>
          <w:rtlGutter w:val="0"/>
          <w:docGrid w:linePitch="360"/>
        </w:sectPr>
      </w:pPr>
      <w:r>
        <w:rPr>
          <w:color w:val="000000"/>
          <w:spacing w:val="0"/>
          <w:w w:val="100"/>
          <w:position w:val="0"/>
          <w:shd w:val="clear" w:color="auto" w:fill="auto"/>
          <w:lang w:val="ru-RU" w:eastAsia="ru-RU" w:bidi="ru-RU"/>
        </w:rPr>
        <w:t>Заявителю - ООО "ВЕГА ойуе§а@у ап с! ех. ш</w:t>
      </w:r>
    </w:p>
    <w:p>
      <w:pPr>
        <w:widowControl w:val="0"/>
        <w:spacing w:line="71" w:lineRule="exact"/>
        <w:rPr>
          <w:sz w:val="6"/>
          <w:szCs w:val="6"/>
        </w:rPr>
      </w:pPr>
    </w:p>
    <w:p>
      <w:pPr>
        <w:widowControl w:val="0"/>
        <w:spacing w:line="1" w:lineRule="exact"/>
        <w:sectPr>
          <w:footnotePr>
            <w:pos w:val="pageBottom"/>
            <w:numFmt w:val="decimal"/>
            <w:numRestart w:val="continuous"/>
          </w:footnotePr>
          <w:type w:val="continuous"/>
          <w:pgSz w:w="11900" w:h="16840"/>
          <w:pgMar w:top="1437" w:right="0" w:bottom="1186" w:left="0" w:header="0" w:footer="3" w:gutter="0"/>
          <w:cols w:space="720"/>
          <w:noEndnote/>
          <w:rtlGutter w:val="0"/>
          <w:docGrid w:linePitch="360"/>
        </w:sectPr>
      </w:pPr>
    </w:p>
    <w:p>
      <w:pPr>
        <w:pStyle w:val="Style8"/>
        <w:keepNext w:val="0"/>
        <w:keepLines w:val="0"/>
        <w:widowControl w:val="0"/>
        <w:shd w:val="clear" w:color="auto" w:fill="auto"/>
        <w:bidi w:val="0"/>
        <w:spacing w:before="0" w:after="0"/>
        <w:ind w:left="0" w:right="0" w:firstLine="940"/>
        <w:jc w:val="left"/>
      </w:pPr>
      <w:r>
        <mc:AlternateContent>
          <mc:Choice Requires="wps">
            <w:drawing>
              <wp:anchor distT="0" distB="743585" distL="114300" distR="114300" simplePos="0" relativeHeight="125829378" behindDoc="0" locked="0" layoutInCell="1" allowOverlap="1">
                <wp:simplePos x="0" y="0"/>
                <wp:positionH relativeFrom="page">
                  <wp:posOffset>723900</wp:posOffset>
                </wp:positionH>
                <wp:positionV relativeFrom="paragraph">
                  <wp:posOffset>12700</wp:posOffset>
                </wp:positionV>
                <wp:extent cx="2636520" cy="1664335"/>
                <wp:wrapSquare wrapText="right"/>
                <wp:docPr id="7" name="Shape 7"/>
                <a:graphic xmlns:a="http://schemas.openxmlformats.org/drawingml/2006/main">
                  <a:graphicData uri="http://schemas.microsoft.com/office/word/2010/wordprocessingShape">
                    <wps:wsp>
                      <wps:cNvSpPr txBox="1"/>
                      <wps:spPr>
                        <a:xfrm>
                          <a:ext cx="2636520" cy="1664335"/>
                        </a:xfrm>
                        <a:prstGeom prst="rect"/>
                        <a:noFill/>
                      </wps:spPr>
                      <wps:txbx>
                        <w:txbxContent>
                          <w:p>
                            <w:pPr>
                              <w:pStyle w:val="Style2"/>
                              <w:keepNext w:val="0"/>
                              <w:keepLines w:val="0"/>
                              <w:widowControl w:val="0"/>
                              <w:shd w:val="clear" w:color="auto" w:fill="auto"/>
                              <w:bidi w:val="0"/>
                              <w:spacing w:before="0" w:after="160" w:line="276" w:lineRule="auto"/>
                              <w:ind w:left="0" w:right="0" w:firstLine="0"/>
                              <w:jc w:val="center"/>
                              <w:rPr>
                                <w:sz w:val="17"/>
                                <w:szCs w:val="17"/>
                              </w:rPr>
                            </w:pPr>
                            <w:r>
                              <w:rPr>
                                <w:b/>
                                <w:bCs/>
                                <w:color w:val="4D608C"/>
                                <w:spacing w:val="0"/>
                                <w:w w:val="100"/>
                                <w:position w:val="0"/>
                                <w:sz w:val="17"/>
                                <w:szCs w:val="17"/>
                                <w:shd w:val="clear" w:color="auto" w:fill="auto"/>
                                <w:lang w:val="ru-RU" w:eastAsia="ru-RU" w:bidi="ru-RU"/>
                              </w:rPr>
                              <w:t>УПРАВЛЕНИЕ</w:t>
                              <w:br/>
                              <w:t>Федеральной антимонопольной службы</w:t>
                              <w:br/>
                              <w:t>по Республике Хакасия</w:t>
                            </w:r>
                          </w:p>
                          <w:p>
                            <w:pPr>
                              <w:pStyle w:val="Style2"/>
                              <w:keepNext w:val="0"/>
                              <w:keepLines w:val="0"/>
                              <w:widowControl w:val="0"/>
                              <w:shd w:val="clear" w:color="auto" w:fill="auto"/>
                              <w:bidi w:val="0"/>
                              <w:spacing w:before="0" w:after="260" w:line="276" w:lineRule="auto"/>
                              <w:ind w:left="0" w:right="0" w:firstLine="0"/>
                              <w:jc w:val="center"/>
                              <w:rPr>
                                <w:sz w:val="16"/>
                                <w:szCs w:val="16"/>
                              </w:rPr>
                            </w:pPr>
                            <w:r>
                              <w:rPr>
                                <w:color w:val="4D608C"/>
                                <w:spacing w:val="0"/>
                                <w:w w:val="100"/>
                                <w:position w:val="0"/>
                                <w:sz w:val="16"/>
                                <w:szCs w:val="16"/>
                                <w:shd w:val="clear" w:color="auto" w:fill="auto"/>
                                <w:lang w:val="ru-RU" w:eastAsia="ru-RU" w:bidi="ru-RU"/>
                              </w:rPr>
                              <w:t>ул. Вяткина, 3, г. Абакан, 655017</w:t>
                              <w:br/>
                              <w:t>тел. (3902) 22-27-59, факс (3902) 22-62-55</w:t>
                              <w:br/>
                              <w:t>е-тай: ю19(йТая.ао\.ги</w:t>
                            </w:r>
                          </w:p>
                          <w:p>
                            <w:pPr>
                              <w:pStyle w:val="Style2"/>
                              <w:keepNext w:val="0"/>
                              <w:keepLines w:val="0"/>
                              <w:widowControl w:val="0"/>
                              <w:shd w:val="clear" w:color="auto" w:fill="auto"/>
                              <w:tabs>
                                <w:tab w:pos="1848" w:val="left"/>
                              </w:tabs>
                              <w:bidi w:val="0"/>
                              <w:spacing w:before="0" w:after="320" w:line="240" w:lineRule="auto"/>
                              <w:ind w:left="0" w:right="0" w:firstLine="0"/>
                              <w:jc w:val="center"/>
                              <w:rPr>
                                <w:sz w:val="30"/>
                                <w:szCs w:val="30"/>
                              </w:rPr>
                            </w:pPr>
                            <w:r>
                              <w:rPr>
                                <w:color w:val="000000"/>
                                <w:spacing w:val="0"/>
                                <w:w w:val="100"/>
                                <w:position w:val="0"/>
                                <w:sz w:val="30"/>
                                <w:szCs w:val="30"/>
                                <w:u w:val="single"/>
                                <w:shd w:val="clear" w:color="auto" w:fill="auto"/>
                                <w:lang w:val="ru-RU" w:eastAsia="ru-RU" w:bidi="ru-RU"/>
                              </w:rPr>
                              <w:t>29.01.2025</w:t>
                            </w:r>
                            <w:r>
                              <w:rPr>
                                <w:color w:val="000000"/>
                                <w:spacing w:val="0"/>
                                <w:w w:val="100"/>
                                <w:position w:val="0"/>
                                <w:sz w:val="30"/>
                                <w:szCs w:val="30"/>
                                <w:shd w:val="clear" w:color="auto" w:fill="auto"/>
                                <w:lang w:val="ru-RU" w:eastAsia="ru-RU" w:bidi="ru-RU"/>
                              </w:rPr>
                              <w:tab/>
                              <w:t xml:space="preserve">№ </w:t>
                            </w:r>
                            <w:r>
                              <w:rPr>
                                <w:color w:val="000000"/>
                                <w:spacing w:val="0"/>
                                <w:w w:val="100"/>
                                <w:position w:val="0"/>
                                <w:sz w:val="30"/>
                                <w:szCs w:val="30"/>
                                <w:u w:val="single"/>
                                <w:shd w:val="clear" w:color="auto" w:fill="auto"/>
                                <w:lang w:val="ru-RU" w:eastAsia="ru-RU" w:bidi="ru-RU"/>
                              </w:rPr>
                              <w:t>ОШ/921/25</w:t>
                            </w:r>
                          </w:p>
                          <w:p>
                            <w:pPr>
                              <w:pStyle w:val="Style13"/>
                              <w:keepNext w:val="0"/>
                              <w:keepLines w:val="0"/>
                              <w:widowControl w:val="0"/>
                              <w:shd w:val="clear" w:color="auto" w:fill="auto"/>
                              <w:bidi w:val="0"/>
                              <w:spacing w:before="0" w:after="260" w:line="240" w:lineRule="auto"/>
                              <w:ind w:left="0" w:right="0" w:firstLine="0"/>
                              <w:jc w:val="left"/>
                              <w:rPr>
                                <w:sz w:val="19"/>
                                <w:szCs w:val="19"/>
                              </w:rPr>
                            </w:pPr>
                            <w:r>
                              <w:rPr>
                                <w:color w:val="4D608C"/>
                                <w:spacing w:val="0"/>
                                <w:w w:val="100"/>
                                <w:position w:val="0"/>
                                <w:sz w:val="19"/>
                                <w:szCs w:val="19"/>
                                <w:shd w:val="clear" w:color="auto" w:fill="auto"/>
                                <w:lang w:val="ru-RU" w:eastAsia="ru-RU" w:bidi="ru-RU"/>
                              </w:rPr>
                              <w:t xml:space="preserve">На№  от</w:t>
                            </w:r>
                          </w:p>
                        </w:txbxContent>
                      </wps:txbx>
                      <wps:bodyPr lIns="0" tIns="0" rIns="0" bIns="0">
                        <a:noAutoFit/>
                      </wps:bodyPr>
                    </wps:wsp>
                  </a:graphicData>
                </a:graphic>
              </wp:anchor>
            </w:drawing>
          </mc:Choice>
          <mc:Fallback>
            <w:pict>
              <v:shape id="_x0000_s1033" type="#_x0000_t202" style="position:absolute;margin-left:57.pt;margin-top:1.pt;width:207.59999999999999pt;height:131.05000000000001pt;z-index:-125829375;mso-wrap-distance-left:9.pt;mso-wrap-distance-right:9.pt;mso-wrap-distance-bottom:58.550000000000004pt;mso-position-horizontal-relative:page" filled="f" stroked="f">
                <v:textbox inset="0,0,0,0">
                  <w:txbxContent>
                    <w:p>
                      <w:pPr>
                        <w:pStyle w:val="Style2"/>
                        <w:keepNext w:val="0"/>
                        <w:keepLines w:val="0"/>
                        <w:widowControl w:val="0"/>
                        <w:shd w:val="clear" w:color="auto" w:fill="auto"/>
                        <w:bidi w:val="0"/>
                        <w:spacing w:before="0" w:after="160" w:line="276" w:lineRule="auto"/>
                        <w:ind w:left="0" w:right="0" w:firstLine="0"/>
                        <w:jc w:val="center"/>
                        <w:rPr>
                          <w:sz w:val="17"/>
                          <w:szCs w:val="17"/>
                        </w:rPr>
                      </w:pPr>
                      <w:r>
                        <w:rPr>
                          <w:b/>
                          <w:bCs/>
                          <w:color w:val="4D608C"/>
                          <w:spacing w:val="0"/>
                          <w:w w:val="100"/>
                          <w:position w:val="0"/>
                          <w:sz w:val="17"/>
                          <w:szCs w:val="17"/>
                          <w:shd w:val="clear" w:color="auto" w:fill="auto"/>
                          <w:lang w:val="ru-RU" w:eastAsia="ru-RU" w:bidi="ru-RU"/>
                        </w:rPr>
                        <w:t>УПРАВЛЕНИЕ</w:t>
                        <w:br/>
                        <w:t>Федеральной антимонопольной службы</w:t>
                        <w:br/>
                        <w:t>по Республике Хакасия</w:t>
                      </w:r>
                    </w:p>
                    <w:p>
                      <w:pPr>
                        <w:pStyle w:val="Style2"/>
                        <w:keepNext w:val="0"/>
                        <w:keepLines w:val="0"/>
                        <w:widowControl w:val="0"/>
                        <w:shd w:val="clear" w:color="auto" w:fill="auto"/>
                        <w:bidi w:val="0"/>
                        <w:spacing w:before="0" w:after="260" w:line="276" w:lineRule="auto"/>
                        <w:ind w:left="0" w:right="0" w:firstLine="0"/>
                        <w:jc w:val="center"/>
                        <w:rPr>
                          <w:sz w:val="16"/>
                          <w:szCs w:val="16"/>
                        </w:rPr>
                      </w:pPr>
                      <w:r>
                        <w:rPr>
                          <w:color w:val="4D608C"/>
                          <w:spacing w:val="0"/>
                          <w:w w:val="100"/>
                          <w:position w:val="0"/>
                          <w:sz w:val="16"/>
                          <w:szCs w:val="16"/>
                          <w:shd w:val="clear" w:color="auto" w:fill="auto"/>
                          <w:lang w:val="ru-RU" w:eastAsia="ru-RU" w:bidi="ru-RU"/>
                        </w:rPr>
                        <w:t>ул. Вяткина, 3, г. Абакан, 655017</w:t>
                        <w:br/>
                        <w:t>тел. (3902) 22-27-59, факс (3902) 22-62-55</w:t>
                        <w:br/>
                        <w:t>е-тай: ю19(йТая.ао\.ги</w:t>
                      </w:r>
                    </w:p>
                    <w:p>
                      <w:pPr>
                        <w:pStyle w:val="Style2"/>
                        <w:keepNext w:val="0"/>
                        <w:keepLines w:val="0"/>
                        <w:widowControl w:val="0"/>
                        <w:shd w:val="clear" w:color="auto" w:fill="auto"/>
                        <w:tabs>
                          <w:tab w:pos="1848" w:val="left"/>
                        </w:tabs>
                        <w:bidi w:val="0"/>
                        <w:spacing w:before="0" w:after="320" w:line="240" w:lineRule="auto"/>
                        <w:ind w:left="0" w:right="0" w:firstLine="0"/>
                        <w:jc w:val="center"/>
                        <w:rPr>
                          <w:sz w:val="30"/>
                          <w:szCs w:val="30"/>
                        </w:rPr>
                      </w:pPr>
                      <w:r>
                        <w:rPr>
                          <w:color w:val="000000"/>
                          <w:spacing w:val="0"/>
                          <w:w w:val="100"/>
                          <w:position w:val="0"/>
                          <w:sz w:val="30"/>
                          <w:szCs w:val="30"/>
                          <w:u w:val="single"/>
                          <w:shd w:val="clear" w:color="auto" w:fill="auto"/>
                          <w:lang w:val="ru-RU" w:eastAsia="ru-RU" w:bidi="ru-RU"/>
                        </w:rPr>
                        <w:t>29.01.2025</w:t>
                      </w:r>
                      <w:r>
                        <w:rPr>
                          <w:color w:val="000000"/>
                          <w:spacing w:val="0"/>
                          <w:w w:val="100"/>
                          <w:position w:val="0"/>
                          <w:sz w:val="30"/>
                          <w:szCs w:val="30"/>
                          <w:shd w:val="clear" w:color="auto" w:fill="auto"/>
                          <w:lang w:val="ru-RU" w:eastAsia="ru-RU" w:bidi="ru-RU"/>
                        </w:rPr>
                        <w:tab/>
                        <w:t xml:space="preserve">№ </w:t>
                      </w:r>
                      <w:r>
                        <w:rPr>
                          <w:color w:val="000000"/>
                          <w:spacing w:val="0"/>
                          <w:w w:val="100"/>
                          <w:position w:val="0"/>
                          <w:sz w:val="30"/>
                          <w:szCs w:val="30"/>
                          <w:u w:val="single"/>
                          <w:shd w:val="clear" w:color="auto" w:fill="auto"/>
                          <w:lang w:val="ru-RU" w:eastAsia="ru-RU" w:bidi="ru-RU"/>
                        </w:rPr>
                        <w:t>ОШ/921/25</w:t>
                      </w:r>
                    </w:p>
                    <w:p>
                      <w:pPr>
                        <w:pStyle w:val="Style13"/>
                        <w:keepNext w:val="0"/>
                        <w:keepLines w:val="0"/>
                        <w:widowControl w:val="0"/>
                        <w:shd w:val="clear" w:color="auto" w:fill="auto"/>
                        <w:bidi w:val="0"/>
                        <w:spacing w:before="0" w:after="260" w:line="240" w:lineRule="auto"/>
                        <w:ind w:left="0" w:right="0" w:firstLine="0"/>
                        <w:jc w:val="left"/>
                        <w:rPr>
                          <w:sz w:val="19"/>
                          <w:szCs w:val="19"/>
                        </w:rPr>
                      </w:pPr>
                      <w:r>
                        <w:rPr>
                          <w:color w:val="4D608C"/>
                          <w:spacing w:val="0"/>
                          <w:w w:val="100"/>
                          <w:position w:val="0"/>
                          <w:sz w:val="19"/>
                          <w:szCs w:val="19"/>
                          <w:shd w:val="clear" w:color="auto" w:fill="auto"/>
                          <w:lang w:val="ru-RU" w:eastAsia="ru-RU" w:bidi="ru-RU"/>
                        </w:rPr>
                        <w:t xml:space="preserve">На№  от</w:t>
                      </w:r>
                    </w:p>
                  </w:txbxContent>
                </v:textbox>
                <w10:wrap type="square" side="right" anchorx="page"/>
              </v:shape>
            </w:pict>
          </mc:Fallback>
        </mc:AlternateContent>
      </w:r>
      <w:r>
        <mc:AlternateContent>
          <mc:Choice Requires="wps">
            <w:drawing>
              <wp:anchor distT="2042160" distB="0" distL="156845" distR="236220" simplePos="0" relativeHeight="125829380" behindDoc="0" locked="0" layoutInCell="1" allowOverlap="1">
                <wp:simplePos x="0" y="0"/>
                <wp:positionH relativeFrom="page">
                  <wp:posOffset>766445</wp:posOffset>
                </wp:positionH>
                <wp:positionV relativeFrom="paragraph">
                  <wp:posOffset>2054860</wp:posOffset>
                </wp:positionV>
                <wp:extent cx="2472055" cy="365760"/>
                <wp:wrapSquare wrapText="right"/>
                <wp:docPr id="9" name="Shape 9"/>
                <a:graphic xmlns:a="http://schemas.openxmlformats.org/drawingml/2006/main">
                  <a:graphicData uri="http://schemas.microsoft.com/office/word/2010/wordprocessingShape">
                    <wps:wsp>
                      <wps:cNvSpPr txBox="1"/>
                      <wps:spPr>
                        <a:xfrm>
                          <a:ext cx="2472055" cy="365760"/>
                        </a:xfrm>
                        <a:prstGeom prst="rect"/>
                        <a:noFill/>
                      </wps:spPr>
                      <wps:txbx>
                        <w:txbxContent>
                          <w:p>
                            <w:pPr>
                              <w:pStyle w:val="Style8"/>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Решение по жалобе № 019/06/106 58/2025 (ООО "ВЕГА")</w:t>
                            </w:r>
                          </w:p>
                        </w:txbxContent>
                      </wps:txbx>
                      <wps:bodyPr lIns="0" tIns="0" rIns="0" bIns="0">
                        <a:noAutoFit/>
                      </wps:bodyPr>
                    </wps:wsp>
                  </a:graphicData>
                </a:graphic>
              </wp:anchor>
            </w:drawing>
          </mc:Choice>
          <mc:Fallback>
            <w:pict>
              <v:shape id="_x0000_s1035" type="#_x0000_t202" style="position:absolute;margin-left:60.350000000000001pt;margin-top:161.80000000000001pt;width:194.65000000000001pt;height:28.800000000000001pt;z-index:-125829373;mso-wrap-distance-left:12.35pt;mso-wrap-distance-top:160.80000000000001pt;mso-wrap-distance-right:18.600000000000001pt;mso-position-horizontal-relative:page" filled="f" stroked="f">
                <v:textbox inset="0,0,0,0">
                  <w:txbxContent>
                    <w:p>
                      <w:pPr>
                        <w:pStyle w:val="Style8"/>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Решение по жалобе № 019/06/106 58/2025 (ООО "ВЕГА")</w:t>
                      </w:r>
                    </w:p>
                  </w:txbxContent>
                </v:textbox>
                <w10:wrap type="square" side="right" anchorx="page"/>
              </v:shape>
            </w:pict>
          </mc:Fallback>
        </mc:AlternateContent>
      </w:r>
      <w:r>
        <w:rPr>
          <w:b/>
          <w:bCs/>
          <w:color w:val="000000"/>
          <w:spacing w:val="0"/>
          <w:w w:val="100"/>
          <w:position w:val="0"/>
          <w:shd w:val="clear" w:color="auto" w:fill="auto"/>
          <w:lang w:val="ru-RU" w:eastAsia="ru-RU" w:bidi="ru-RU"/>
        </w:rPr>
        <w:t>Субъектам контроля:</w:t>
      </w:r>
    </w:p>
    <w:p>
      <w:pPr>
        <w:pStyle w:val="Style8"/>
        <w:keepNext w:val="0"/>
        <w:keepLines w:val="0"/>
        <w:widowControl w:val="0"/>
        <w:shd w:val="clear" w:color="auto" w:fill="auto"/>
        <w:bidi w:val="0"/>
        <w:spacing w:before="0" w:after="0"/>
        <w:ind w:left="0" w:right="0" w:firstLine="940"/>
        <w:jc w:val="left"/>
      </w:pPr>
      <w:r>
        <w:rPr>
          <w:color w:val="000000"/>
          <w:spacing w:val="0"/>
          <w:w w:val="100"/>
          <w:position w:val="0"/>
          <w:shd w:val="clear" w:color="auto" w:fill="auto"/>
          <w:lang w:val="ru-RU" w:eastAsia="ru-RU" w:bidi="ru-RU"/>
        </w:rPr>
        <w:t>Заказчику -</w:t>
      </w:r>
    </w:p>
    <w:p>
      <w:pPr>
        <w:pStyle w:val="Style8"/>
        <w:keepNext w:val="0"/>
        <w:keepLines w:val="0"/>
        <w:widowControl w:val="0"/>
        <w:shd w:val="clear" w:color="auto" w:fill="auto"/>
        <w:bidi w:val="0"/>
        <w:spacing w:before="0" w:after="260"/>
        <w:ind w:left="940" w:right="0" w:firstLine="0"/>
        <w:jc w:val="left"/>
      </w:pPr>
      <w:r>
        <w:rPr>
          <w:color w:val="000000"/>
          <w:spacing w:val="0"/>
          <w:w w:val="100"/>
          <w:position w:val="0"/>
          <w:shd w:val="clear" w:color="auto" w:fill="auto"/>
          <w:lang w:val="ru-RU" w:eastAsia="ru-RU" w:bidi="ru-RU"/>
        </w:rPr>
        <w:t>ГКУ РХ "Противопожарная служба" рр8@г-19.ш</w:t>
      </w:r>
    </w:p>
    <w:p>
      <w:pPr>
        <w:pStyle w:val="Style8"/>
        <w:keepNext w:val="0"/>
        <w:keepLines w:val="0"/>
        <w:widowControl w:val="0"/>
        <w:shd w:val="clear" w:color="auto" w:fill="auto"/>
        <w:bidi w:val="0"/>
        <w:spacing w:before="0" w:after="0"/>
        <w:ind w:left="940" w:right="0" w:firstLine="0"/>
        <w:jc w:val="left"/>
      </w:pPr>
      <w:r>
        <w:rPr>
          <w:color w:val="000000"/>
          <w:spacing w:val="0"/>
          <w:w w:val="100"/>
          <w:position w:val="0"/>
          <w:shd w:val="clear" w:color="auto" w:fill="auto"/>
          <w:lang w:val="ru-RU" w:eastAsia="ru-RU" w:bidi="ru-RU"/>
        </w:rPr>
        <w:t>Уполномоченному органу -</w:t>
      </w:r>
    </w:p>
    <w:p>
      <w:pPr>
        <w:pStyle w:val="Style8"/>
        <w:keepNext w:val="0"/>
        <w:keepLines w:val="0"/>
        <w:widowControl w:val="0"/>
        <w:shd w:val="clear" w:color="auto" w:fill="auto"/>
        <w:bidi w:val="0"/>
        <w:spacing w:before="0" w:after="260"/>
        <w:ind w:left="940" w:right="0" w:firstLine="0"/>
        <w:jc w:val="left"/>
      </w:pPr>
      <w:r>
        <w:rPr>
          <w:color w:val="000000"/>
          <w:spacing w:val="0"/>
          <w:w w:val="100"/>
          <w:position w:val="0"/>
          <w:shd w:val="clear" w:color="auto" w:fill="auto"/>
          <w:lang w:val="ru-RU" w:eastAsia="ru-RU" w:bidi="ru-RU"/>
        </w:rPr>
        <w:t>Государственному комитету по регулированию контрактной системы в сфере закупок Республики Хакасия и его комиссии §х@г-19.ги</w:t>
      </w:r>
    </w:p>
    <w:p>
      <w:pPr>
        <w:pStyle w:val="Style8"/>
        <w:keepNext w:val="0"/>
        <w:keepLines w:val="0"/>
        <w:widowControl w:val="0"/>
        <w:shd w:val="clear" w:color="auto" w:fill="auto"/>
        <w:bidi w:val="0"/>
        <w:spacing w:before="0" w:after="0" w:line="259" w:lineRule="auto"/>
        <w:ind w:left="940" w:right="0" w:firstLine="0"/>
        <w:jc w:val="left"/>
      </w:pPr>
      <w:r>
        <w:rPr>
          <w:color w:val="000000"/>
          <w:spacing w:val="0"/>
          <w:w w:val="100"/>
          <w:position w:val="0"/>
          <w:shd w:val="clear" w:color="auto" w:fill="auto"/>
          <w:lang w:val="ru-RU" w:eastAsia="ru-RU" w:bidi="ru-RU"/>
        </w:rPr>
        <w:t>Оператору электронной площадки -</w:t>
      </w:r>
    </w:p>
    <w:p>
      <w:pPr>
        <w:pStyle w:val="Style8"/>
        <w:keepNext w:val="0"/>
        <w:keepLines w:val="0"/>
        <w:widowControl w:val="0"/>
        <w:shd w:val="clear" w:color="auto" w:fill="auto"/>
        <w:bidi w:val="0"/>
        <w:spacing w:before="0" w:after="320" w:line="259" w:lineRule="auto"/>
        <w:ind w:left="940" w:right="0" w:firstLine="0"/>
        <w:jc w:val="left"/>
      </w:pPr>
      <w:r>
        <w:rPr>
          <w:color w:val="000000"/>
          <w:spacing w:val="0"/>
          <w:w w:val="100"/>
          <w:position w:val="0"/>
          <w:shd w:val="clear" w:color="auto" w:fill="auto"/>
          <w:lang w:val="ru-RU" w:eastAsia="ru-RU" w:bidi="ru-RU"/>
        </w:rPr>
        <w:t>ООО "РТС-тендер" ко@г18-1епс1ег.ш</w:t>
      </w:r>
    </w:p>
    <w:p>
      <w:pPr>
        <w:pStyle w:val="Style23"/>
        <w:keepNext/>
        <w:keepLines/>
        <w:widowControl w:val="0"/>
        <w:shd w:val="clear" w:color="auto" w:fill="auto"/>
        <w:bidi w:val="0"/>
        <w:spacing w:before="0" w:after="60" w:line="240" w:lineRule="auto"/>
        <w:ind w:left="0" w:right="0" w:firstLine="0"/>
        <w:jc w:val="center"/>
      </w:pPr>
      <w:bookmarkStart w:id="0" w:name="bookmark0"/>
      <w:r>
        <w:rPr>
          <w:color w:val="000000"/>
          <w:spacing w:val="0"/>
          <w:w w:val="100"/>
          <w:position w:val="0"/>
          <w:shd w:val="clear" w:color="auto" w:fill="auto"/>
          <w:lang w:val="ru-RU" w:eastAsia="ru-RU" w:bidi="ru-RU"/>
        </w:rPr>
        <w:t>РЕШЕНИЕ</w:t>
      </w:r>
      <w:bookmarkEnd w:id="0"/>
    </w:p>
    <w:p>
      <w:pPr>
        <w:pStyle w:val="Style23"/>
        <w:keepNext/>
        <w:keepLines/>
        <w:widowControl w:val="0"/>
        <w:shd w:val="clear" w:color="auto" w:fill="auto"/>
        <w:bidi w:val="0"/>
        <w:spacing w:before="0" w:after="420" w:line="240" w:lineRule="auto"/>
        <w:ind w:left="0" w:right="0" w:firstLine="0"/>
        <w:jc w:val="center"/>
      </w:pPr>
      <w:bookmarkStart w:id="2" w:name="bookmark2"/>
      <w:r>
        <w:rPr>
          <w:color w:val="000000"/>
          <w:spacing w:val="0"/>
          <w:w w:val="100"/>
          <w:position w:val="0"/>
          <w:shd w:val="clear" w:color="auto" w:fill="auto"/>
          <w:lang w:val="ru-RU" w:eastAsia="ru-RU" w:bidi="ru-RU"/>
        </w:rPr>
        <w:t>по жалобе № 019/06/106-58/2025</w:t>
      </w:r>
      <w:bookmarkEnd w:id="2"/>
    </w:p>
    <w:p>
      <w:pPr>
        <w:pStyle w:val="Style16"/>
        <w:keepNext w:val="0"/>
        <w:keepLines w:val="0"/>
        <w:widowControl w:val="0"/>
        <w:shd w:val="clear" w:color="auto" w:fill="auto"/>
        <w:tabs>
          <w:tab w:pos="8923" w:val="left"/>
        </w:tabs>
        <w:bidi w:val="0"/>
        <w:spacing w:before="0" w:after="420" w:line="240" w:lineRule="auto"/>
        <w:ind w:left="0" w:right="0" w:firstLine="0"/>
        <w:jc w:val="left"/>
      </w:pPr>
      <w:r>
        <w:rPr>
          <w:color w:val="000000"/>
          <w:spacing w:val="0"/>
          <w:w w:val="100"/>
          <w:position w:val="0"/>
          <w:shd w:val="clear" w:color="auto" w:fill="auto"/>
          <w:lang w:val="ru-RU" w:eastAsia="ru-RU" w:bidi="ru-RU"/>
        </w:rPr>
        <w:t>«24» января 2025 года</w:t>
        <w:tab/>
        <w:t>г. Абакан</w:t>
      </w:r>
    </w:p>
    <w:p>
      <w:pPr>
        <w:pStyle w:val="Style16"/>
        <w:keepNext w:val="0"/>
        <w:keepLines w:val="0"/>
        <w:widowControl w:val="0"/>
        <w:shd w:val="clear" w:color="auto" w:fill="auto"/>
        <w:bidi w:val="0"/>
        <w:spacing w:before="0" w:after="60" w:line="240" w:lineRule="auto"/>
        <w:ind w:left="0" w:right="0" w:firstLine="560"/>
        <w:jc w:val="left"/>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w:t>
      </w:r>
    </w:p>
    <w:p>
      <w:pPr>
        <w:pStyle w:val="Style16"/>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Хакасия по контролю закупок в составе (далее - Комиссия):</w:t>
      </w:r>
    </w:p>
    <w:p>
      <w:pPr>
        <w:pStyle w:val="Style16"/>
        <w:keepNext w:val="0"/>
        <w:keepLines w:val="0"/>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ru-RU" w:eastAsia="ru-RU" w:bidi="ru-RU"/>
        </w:rPr>
        <w:t>Ведущего заседание комиссии Широковой О.В., заместителя руководителя</w:t>
      </w:r>
    </w:p>
    <w:tbl>
      <w:tblPr>
        <w:tblOverlap w:val="never"/>
        <w:jc w:val="center"/>
        <w:tblLayout w:type="fixed"/>
      </w:tblPr>
      <w:tblGrid>
        <w:gridCol w:w="3019"/>
        <w:gridCol w:w="7344"/>
      </w:tblGrid>
      <w:tr>
        <w:trPr>
          <w:trHeight w:val="2026" w:hRule="exact"/>
        </w:trPr>
        <w:tc>
          <w:tcPr>
            <w:tcBorders/>
            <w:shd w:val="clear" w:color="auto" w:fill="auto"/>
            <w:vAlign w:val="top"/>
          </w:tcPr>
          <w:p>
            <w:pPr>
              <w:pStyle w:val="Style2"/>
              <w:keepNext w:val="0"/>
              <w:keepLines w:val="0"/>
              <w:widowControl w:val="0"/>
              <w:shd w:val="clear" w:color="auto" w:fill="auto"/>
              <w:bidi w:val="0"/>
              <w:spacing w:before="240" w:after="0" w:line="240" w:lineRule="auto"/>
              <w:ind w:left="0" w:right="0" w:firstLine="0"/>
              <w:jc w:val="left"/>
            </w:pPr>
            <w:r>
              <w:rPr>
                <w:color w:val="000000"/>
                <w:spacing w:val="0"/>
                <w:w w:val="100"/>
                <w:position w:val="0"/>
                <w:shd w:val="clear" w:color="auto" w:fill="auto"/>
                <w:lang w:val="ru-RU" w:eastAsia="ru-RU" w:bidi="ru-RU"/>
              </w:rPr>
              <w:t>Членов комиссии:</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900"/>
              <w:jc w:val="left"/>
            </w:pPr>
            <w:r>
              <w:rPr>
                <w:color w:val="000000"/>
                <w:spacing w:val="0"/>
                <w:w w:val="100"/>
                <w:position w:val="0"/>
                <w:shd w:val="clear" w:color="auto" w:fill="auto"/>
                <w:lang w:val="ru-RU" w:eastAsia="ru-RU" w:bidi="ru-RU"/>
              </w:rPr>
              <w:t>управления;</w:t>
            </w:r>
          </w:p>
          <w:p>
            <w:pPr>
              <w:pStyle w:val="Style2"/>
              <w:keepNext w:val="0"/>
              <w:keepLines w:val="0"/>
              <w:widowControl w:val="0"/>
              <w:shd w:val="clear" w:color="auto" w:fill="auto"/>
              <w:bidi w:val="0"/>
              <w:spacing w:before="0" w:after="0"/>
              <w:ind w:left="900" w:right="0" w:firstLine="20"/>
              <w:jc w:val="left"/>
            </w:pPr>
            <w:r>
              <w:rPr>
                <w:color w:val="000000"/>
                <w:spacing w:val="0"/>
                <w:w w:val="100"/>
                <w:position w:val="0"/>
                <w:shd w:val="clear" w:color="auto" w:fill="auto"/>
                <w:lang w:val="ru-RU" w:eastAsia="ru-RU" w:bidi="ru-RU"/>
              </w:rPr>
              <w:t>Ортээлека И.А., ведущего специалиста-эксперта отдела контроля закупок и антимонопольного контроля органов власти;</w:t>
            </w:r>
          </w:p>
          <w:p>
            <w:pPr>
              <w:pStyle w:val="Style2"/>
              <w:keepNext w:val="0"/>
              <w:keepLines w:val="0"/>
              <w:widowControl w:val="0"/>
              <w:shd w:val="clear" w:color="auto" w:fill="auto"/>
              <w:bidi w:val="0"/>
              <w:spacing w:before="0" w:after="0"/>
              <w:ind w:left="900" w:right="0" w:firstLine="20"/>
              <w:jc w:val="left"/>
            </w:pPr>
            <w:r>
              <w:rPr>
                <w:color w:val="000000"/>
                <w:spacing w:val="0"/>
                <w:w w:val="100"/>
                <w:position w:val="0"/>
                <w:shd w:val="clear" w:color="auto" w:fill="auto"/>
                <w:lang w:val="ru-RU" w:eastAsia="ru-RU" w:bidi="ru-RU"/>
              </w:rPr>
              <w:t>Антоновой Е.В., ведущего специалиста-эксперта отдела антимонопольного законодательства и</w:t>
            </w:r>
          </w:p>
        </w:tc>
      </w:tr>
    </w:tbl>
    <w:p>
      <w:pPr>
        <w:widowControl w:val="0"/>
        <w:spacing w:after="59" w:line="1" w:lineRule="exact"/>
      </w:pPr>
    </w:p>
    <w:p>
      <w:pPr>
        <w:pStyle w:val="Style16"/>
        <w:keepNext w:val="0"/>
        <w:keepLines w:val="0"/>
        <w:widowControl w:val="0"/>
        <w:shd w:val="clear" w:color="auto" w:fill="auto"/>
        <w:bidi w:val="0"/>
        <w:spacing w:before="0" w:after="60" w:line="240" w:lineRule="auto"/>
        <w:ind w:left="3820" w:right="0" w:firstLine="0"/>
        <w:jc w:val="left"/>
      </w:pPr>
      <w:r>
        <w:rPr>
          <w:color w:val="000000"/>
          <w:spacing w:val="0"/>
          <w:w w:val="100"/>
          <w:position w:val="0"/>
          <w:shd w:val="clear" w:color="auto" w:fill="auto"/>
          <w:lang w:val="ru-RU" w:eastAsia="ru-RU" w:bidi="ru-RU"/>
        </w:rPr>
        <w:t>рекламы;</w:t>
      </w:r>
    </w:p>
    <w:p>
      <w:pPr>
        <w:pStyle w:val="Style25"/>
        <w:keepNext w:val="0"/>
        <w:keepLines w:val="0"/>
        <w:widowControl w:val="0"/>
        <w:shd w:val="clear" w:color="auto" w:fill="auto"/>
        <w:bidi w:val="0"/>
        <w:spacing w:before="0" w:after="0" w:line="240" w:lineRule="auto"/>
        <w:ind w:left="110" w:right="0" w:firstLine="0"/>
        <w:jc w:val="left"/>
      </w:pPr>
      <w:r>
        <w:rPr>
          <w:i/>
          <w:iCs/>
          <w:color w:val="000000"/>
          <w:spacing w:val="0"/>
          <w:w w:val="100"/>
          <w:position w:val="0"/>
          <w:shd w:val="clear" w:color="auto" w:fill="auto"/>
          <w:lang w:val="ru-RU" w:eastAsia="ru-RU" w:bidi="ru-RU"/>
        </w:rPr>
        <w:t>при участии представителей:</w:t>
      </w:r>
    </w:p>
    <w:tbl>
      <w:tblPr>
        <w:tblOverlap w:val="never"/>
        <w:jc w:val="center"/>
        <w:tblLayout w:type="fixed"/>
      </w:tblPr>
      <w:tblGrid>
        <w:gridCol w:w="3019"/>
        <w:gridCol w:w="7349"/>
      </w:tblGrid>
      <w:tr>
        <w:trPr>
          <w:trHeight w:val="682" w:hRule="exact"/>
        </w:trPr>
        <w:tc>
          <w:tcPr>
            <w:tcBorders/>
            <w:shd w:val="clear" w:color="auto" w:fill="auto"/>
            <w:vAlign w:val="top"/>
          </w:tcPr>
          <w:p>
            <w:pPr>
              <w:pStyle w:val="Style2"/>
              <w:keepNext w:val="0"/>
              <w:keepLines w:val="0"/>
              <w:widowControl w:val="0"/>
              <w:shd w:val="clear" w:color="auto" w:fill="auto"/>
              <w:bidi w:val="0"/>
              <w:spacing w:before="0" w:after="60" w:line="240" w:lineRule="auto"/>
              <w:ind w:left="0" w:right="0" w:firstLine="660"/>
              <w:jc w:val="left"/>
            </w:pPr>
            <w:r>
              <w:rPr>
                <w:i/>
                <w:iCs/>
                <w:color w:val="000000"/>
                <w:spacing w:val="0"/>
                <w:w w:val="100"/>
                <w:position w:val="0"/>
                <w:shd w:val="clear" w:color="auto" w:fill="auto"/>
                <w:lang w:val="ru-RU" w:eastAsia="ru-RU" w:bidi="ru-RU"/>
              </w:rPr>
              <w:t>государственного</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Республики Хакасия</w:t>
            </w:r>
          </w:p>
        </w:tc>
        <w:tc>
          <w:tcPr>
            <w:tcBorders/>
            <w:shd w:val="clear" w:color="auto" w:fill="auto"/>
            <w:vAlign w:val="top"/>
          </w:tcPr>
          <w:p>
            <w:pPr>
              <w:pStyle w:val="Style2"/>
              <w:keepNext w:val="0"/>
              <w:keepLines w:val="0"/>
              <w:widowControl w:val="0"/>
              <w:shd w:val="clear" w:color="auto" w:fill="auto"/>
              <w:bidi w:val="0"/>
              <w:spacing w:before="0" w:after="0"/>
              <w:ind w:left="0" w:right="0" w:firstLine="0"/>
              <w:jc w:val="right"/>
            </w:pPr>
            <w:r>
              <w:rPr>
                <w:i/>
                <w:iCs/>
                <w:color w:val="000000"/>
                <w:spacing w:val="0"/>
                <w:w w:val="100"/>
                <w:position w:val="0"/>
                <w:shd w:val="clear" w:color="auto" w:fill="auto"/>
                <w:lang w:val="ru-RU" w:eastAsia="ru-RU" w:bidi="ru-RU"/>
              </w:rPr>
              <w:t>заказчика</w:t>
            </w:r>
            <w:r>
              <w:rPr>
                <w:color w:val="000000"/>
                <w:spacing w:val="0"/>
                <w:w w:val="100"/>
                <w:position w:val="0"/>
                <w:shd w:val="clear" w:color="auto" w:fill="auto"/>
                <w:lang w:val="ru-RU" w:eastAsia="ru-RU" w:bidi="ru-RU"/>
              </w:rPr>
              <w:t xml:space="preserve"> - Государственного казённого учреждения «Противопожарная служба» (далее — ГКУ РХ</w:t>
            </w:r>
          </w:p>
        </w:tc>
      </w:tr>
    </w:tbl>
    <w:p>
      <w:pPr>
        <w:pStyle w:val="Style2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«Противопожарная служба», Заказчик):</w:t>
      </w:r>
    </w:p>
    <w:p>
      <w:pPr>
        <w:widowControl w:val="0"/>
        <w:spacing w:after="1799" w:line="1" w:lineRule="exact"/>
      </w:pPr>
    </w:p>
    <w:p>
      <w:pPr>
        <w:pStyle w:val="Style29"/>
        <w:keepNext/>
        <w:keepLines/>
        <w:widowControl w:val="0"/>
        <w:shd w:val="clear" w:color="auto" w:fill="auto"/>
        <w:bidi w:val="0"/>
        <w:spacing w:before="0" w:line="240" w:lineRule="auto"/>
        <w:ind w:left="0" w:right="0" w:firstLine="0"/>
        <w:jc w:val="left"/>
      </w:pPr>
      <w:bookmarkStart w:id="4" w:name="bookmark4"/>
      <w:r>
        <w:rPr>
          <w:color w:val="000000"/>
          <w:spacing w:val="0"/>
          <w:w w:val="100"/>
          <w:position w:val="0"/>
          <w:shd w:val="clear" w:color="auto" w:fill="auto"/>
          <w:lang w:val="ru-RU" w:eastAsia="ru-RU" w:bidi="ru-RU"/>
        </w:rPr>
        <w:t>||||||||||||||||||||||||</w:t>
      </w:r>
      <w:bookmarkEnd w:id="4"/>
    </w:p>
    <w:p>
      <w:pPr>
        <w:pStyle w:val="Style16"/>
        <w:keepNext w:val="0"/>
        <w:keepLines w:val="0"/>
        <w:widowControl w:val="0"/>
        <w:shd w:val="clear" w:color="auto" w:fill="auto"/>
        <w:bidi w:val="0"/>
        <w:spacing w:before="0" w:after="720"/>
        <w:ind w:left="0" w:right="0" w:firstLine="560"/>
        <w:jc w:val="both"/>
      </w:pPr>
      <w:r>
        <w:rPr>
          <w:i/>
          <w:iCs/>
          <w:color w:val="000000"/>
          <w:spacing w:val="0"/>
          <w:w w:val="100"/>
          <w:position w:val="0"/>
          <w:shd w:val="clear" w:color="auto" w:fill="auto"/>
          <w:lang w:val="ru-RU" w:eastAsia="ru-RU" w:bidi="ru-RU"/>
        </w:rPr>
        <w:t>уполномоченного органа -</w:t>
      </w:r>
      <w:r>
        <w:rPr>
          <w:color w:val="000000"/>
          <w:spacing w:val="0"/>
          <w:w w:val="100"/>
          <w:position w:val="0"/>
          <w:shd w:val="clear" w:color="auto" w:fill="auto"/>
          <w:lang w:val="ru-RU" w:eastAsia="ru-RU" w:bidi="ru-RU"/>
        </w:rPr>
        <w:t xml:space="preserve"> Государственного комитета по регулированию контрактной системы в сфере закупок Республики Хакасия (далее - Госкомитет, уполномоченный орган):</w:t>
      </w:r>
    </w:p>
    <w:p>
      <w:pPr>
        <w:pStyle w:val="Style16"/>
        <w:keepNext w:val="0"/>
        <w:keepLines w:val="0"/>
        <w:widowControl w:val="0"/>
        <w:shd w:val="clear" w:color="auto" w:fill="auto"/>
        <w:bidi w:val="0"/>
        <w:spacing w:before="0" w:after="360"/>
        <w:ind w:left="0" w:right="0" w:firstLine="560"/>
        <w:jc w:val="both"/>
      </w:pPr>
      <w:r>
        <w:rPr>
          <w:i/>
          <w:iCs/>
          <w:color w:val="000000"/>
          <w:spacing w:val="0"/>
          <w:w w:val="100"/>
          <w:position w:val="0"/>
          <w:shd w:val="clear" w:color="auto" w:fill="auto"/>
          <w:lang w:val="ru-RU" w:eastAsia="ru-RU" w:bidi="ru-RU"/>
        </w:rPr>
        <w:t>Заявителя —</w:t>
      </w:r>
      <w:r>
        <w:rPr>
          <w:color w:val="000000"/>
          <w:spacing w:val="0"/>
          <w:w w:val="100"/>
          <w:position w:val="0"/>
          <w:shd w:val="clear" w:color="auto" w:fill="auto"/>
          <w:lang w:val="ru-RU" w:eastAsia="ru-RU" w:bidi="ru-RU"/>
        </w:rPr>
        <w:t xml:space="preserve"> Общества с ограниченной ответственностью «ВЕГА» (далее - ООО «ВЕГА», Заявитель, Общество):</w:t>
      </w:r>
    </w:p>
    <w:p>
      <w:pPr>
        <w:pStyle w:val="Style16"/>
        <w:keepNext w:val="0"/>
        <w:keepLines w:val="0"/>
        <w:widowControl w:val="0"/>
        <w:shd w:val="clear" w:color="auto" w:fill="auto"/>
        <w:bidi w:val="0"/>
        <w:spacing w:before="0" w:after="360"/>
        <w:ind w:left="0" w:right="0" w:firstLine="560"/>
        <w:jc w:val="both"/>
      </w:pPr>
      <w:r>
        <w:rPr>
          <w:color w:val="000000"/>
          <w:spacing w:val="0"/>
          <w:w w:val="100"/>
          <w:position w:val="0"/>
          <w:shd w:val="clear" w:color="auto" w:fill="auto"/>
          <w:lang w:val="ru-RU" w:eastAsia="ru-RU" w:bidi="ru-RU"/>
        </w:rPr>
        <w:t>рассмотрев посредством видео-конференц-связи жалобу ООО «ВЕГА» на действия субъектов контроля при проведении электронного аукциона на поставку запасных металлокомпозитных баллонов с вентилем для дыхательных аппаратов, находящихся на вооружении ГКУ РХ "Противопожарная служба" (извещение № 0380200000124009606) (далее - Аукцион), и в результате осуществления внеплановой проверки в соответствии с пунктом 1 части 15 статьи 99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23"/>
        <w:keepNext/>
        <w:keepLines/>
        <w:widowControl w:val="0"/>
        <w:shd w:val="clear" w:color="auto" w:fill="auto"/>
        <w:bidi w:val="0"/>
        <w:spacing w:before="0" w:line="298" w:lineRule="auto"/>
        <w:ind w:left="0" w:right="0" w:firstLine="0"/>
        <w:jc w:val="center"/>
      </w:pPr>
      <w:bookmarkStart w:id="6" w:name="bookmark6"/>
      <w:r>
        <w:rPr>
          <w:color w:val="000000"/>
          <w:spacing w:val="0"/>
          <w:w w:val="100"/>
          <w:position w:val="0"/>
          <w:shd w:val="clear" w:color="auto" w:fill="auto"/>
          <w:lang w:val="ru-RU" w:eastAsia="ru-RU" w:bidi="ru-RU"/>
        </w:rPr>
        <w:t>УСТАНОВИЛА:</w:t>
      </w:r>
      <w:bookmarkEnd w:id="6"/>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Хакасское УФАС России посредством ЕИС 18.01.2025 (зарегистрирована 20.01.2025 вх. № 475/25) поступила жалоба Заявителя на действия субъектов контроля при проведении Аукциона.</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По мнению Заявителя, его права и законные интересы нарушены действиями Заказчика, установившего в извещении такую совокупность требований, исполнение которой может быть обеспечена только продукцией единственного производителя — “ЕнхГег Саз Суйпбегз (ЗНагщЬаО Со. ЕМ” (Китай). Кроме того, по мнению Заявителя, указанная продукция не произведена на территории РФ или стран ЕАЭС, и не соответствует требованиям постановления Правительства № 617, установленного в извещении Заказчиком и поэтому не может быть предложена к поставке. Таким образом, Заявитель считает, что Заказчик установив требования к товару допустил нарушение Закона о контрактной системе, а также считает неправомерным решение Уполномоченного органа об определении победителя данной закупки.</w:t>
      </w:r>
    </w:p>
    <w:p>
      <w:pPr>
        <w:pStyle w:val="Style16"/>
        <w:keepNext w:val="0"/>
        <w:keepLines w:val="0"/>
        <w:widowControl w:val="0"/>
        <w:shd w:val="clear" w:color="auto" w:fill="auto"/>
        <w:bidi w:val="0"/>
        <w:spacing w:before="0" w:after="360"/>
        <w:ind w:left="0" w:right="0" w:firstLine="560"/>
        <w:jc w:val="both"/>
      </w:pPr>
      <w:r>
        <w:rPr>
          <w:color w:val="000000"/>
          <w:spacing w:val="0"/>
          <w:w w:val="100"/>
          <w:position w:val="0"/>
          <w:shd w:val="clear" w:color="auto" w:fill="auto"/>
          <w:lang w:val="ru-RU" w:eastAsia="ru-RU" w:bidi="ru-RU"/>
        </w:rPr>
        <w:t>Представитель Заявителя на рассмотрении жалобы озвучил указанные доводы, указанные в жалобе, просил признать жалобу обоснованной.</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До рассмотрения жалобы в материалы дела от Заказчика поступили запрашиваемые пояснения и документы. На заседании комиссии представитель Заказчика возражал по доводам жалобы, просил признать её необоснованной, при этом указал, что под описание объекта закупки подходит как минимум два производителя: БК-7-300АУ-1 (производства ЗАО «НПП «Маштест», Россия), Ь65СХ (производства «ЬнхГег Стаз СуНпбегз», Китай).</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Представитель Уполномоченного органа, направив в материалы дела письменные пояснения, запрашиваемые документы, указал, что извещение о закупке и решение, принятое комиссией по осуществлению закупок, соответствует требованиям Закона о контрактной системе.</w:t>
      </w:r>
    </w:p>
    <w:p>
      <w:pPr>
        <w:pStyle w:val="Style16"/>
        <w:keepNext w:val="0"/>
        <w:keepLines w:val="0"/>
        <w:widowControl w:val="0"/>
        <w:shd w:val="clear" w:color="auto" w:fill="auto"/>
        <w:bidi w:val="0"/>
        <w:spacing w:before="0" w:after="360"/>
        <w:ind w:left="0" w:right="0" w:firstLine="560"/>
        <w:jc w:val="both"/>
      </w:pPr>
      <w:r>
        <w:rPr>
          <w:color w:val="000000"/>
          <w:spacing w:val="0"/>
          <w:w w:val="100"/>
          <w:position w:val="0"/>
          <w:shd w:val="clear" w:color="auto" w:fill="auto"/>
          <w:lang w:val="ru-RU" w:eastAsia="ru-RU" w:bidi="ru-RU"/>
        </w:rPr>
        <w:t>Председателем комиссии был объявлен перерыв в заседании до 14:30 24.01.2025 с целью исследования дополнительных обстоятельств дела.</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соответствии с извещением об осуществлении закупки, электронными документами к нему, протоколами, составленными при определении поставщика (подрядчика, исполнителя):</w:t>
      </w:r>
    </w:p>
    <w:p>
      <w:pPr>
        <w:pStyle w:val="Style16"/>
        <w:keepNext w:val="0"/>
        <w:keepLines w:val="0"/>
        <w:widowControl w:val="0"/>
        <w:numPr>
          <w:ilvl w:val="0"/>
          <w:numId w:val="1"/>
        </w:numPr>
        <w:shd w:val="clear" w:color="auto" w:fill="auto"/>
        <w:tabs>
          <w:tab w:pos="931" w:val="left"/>
        </w:tabs>
        <w:bidi w:val="0"/>
        <w:spacing w:before="0" w:after="0"/>
        <w:ind w:left="0" w:right="0" w:firstLine="560"/>
        <w:jc w:val="both"/>
      </w:pPr>
      <w:r>
        <w:rPr>
          <w:color w:val="000000"/>
          <w:spacing w:val="0"/>
          <w:w w:val="100"/>
          <w:position w:val="0"/>
          <w:shd w:val="clear" w:color="auto" w:fill="auto"/>
          <w:lang w:val="ru-RU" w:eastAsia="ru-RU" w:bidi="ru-RU"/>
        </w:rPr>
        <w:t>извещение об осуществлении закупки (далее — Извещение) размещено в ЕИС 24.12.2024;</w:t>
      </w:r>
    </w:p>
    <w:p>
      <w:pPr>
        <w:pStyle w:val="Style16"/>
        <w:keepNext w:val="0"/>
        <w:keepLines w:val="0"/>
        <w:widowControl w:val="0"/>
        <w:numPr>
          <w:ilvl w:val="0"/>
          <w:numId w:val="1"/>
        </w:numPr>
        <w:shd w:val="clear" w:color="auto" w:fill="auto"/>
        <w:tabs>
          <w:tab w:pos="1491" w:val="left"/>
        </w:tabs>
        <w:bidi w:val="0"/>
        <w:spacing w:before="0" w:after="0"/>
        <w:ind w:left="0" w:right="0" w:firstLine="560"/>
        <w:jc w:val="both"/>
      </w:pPr>
      <w:r>
        <w:rPr>
          <w:color w:val="000000"/>
          <w:spacing w:val="0"/>
          <w:w w:val="100"/>
          <w:position w:val="0"/>
          <w:shd w:val="clear" w:color="auto" w:fill="auto"/>
          <w:lang w:val="ru-RU" w:eastAsia="ru-RU" w:bidi="ru-RU"/>
        </w:rPr>
        <w:t>начальная (максимальная) цена контракта - 4 284 000,00 рублей;</w:t>
      </w:r>
    </w:p>
    <w:p>
      <w:pPr>
        <w:pStyle w:val="Style16"/>
        <w:keepNext w:val="0"/>
        <w:keepLines w:val="0"/>
        <w:widowControl w:val="0"/>
        <w:numPr>
          <w:ilvl w:val="0"/>
          <w:numId w:val="1"/>
        </w:numPr>
        <w:shd w:val="clear" w:color="auto" w:fill="auto"/>
        <w:tabs>
          <w:tab w:pos="1491" w:val="left"/>
        </w:tabs>
        <w:bidi w:val="0"/>
        <w:spacing w:before="0" w:after="0"/>
        <w:ind w:left="0" w:right="0" w:firstLine="560"/>
        <w:jc w:val="both"/>
      </w:pPr>
      <w:r>
        <w:rPr>
          <w:color w:val="000000"/>
          <w:spacing w:val="0"/>
          <w:w w:val="100"/>
          <w:position w:val="0"/>
          <w:shd w:val="clear" w:color="auto" w:fill="auto"/>
          <w:lang w:val="ru-RU" w:eastAsia="ru-RU" w:bidi="ru-RU"/>
        </w:rPr>
        <w:t>способ определения поставщика (подрядчика, исполнителя) — Аукцион;</w:t>
      </w:r>
    </w:p>
    <w:p>
      <w:pPr>
        <w:pStyle w:val="Style16"/>
        <w:keepNext w:val="0"/>
        <w:keepLines w:val="0"/>
        <w:widowControl w:val="0"/>
        <w:numPr>
          <w:ilvl w:val="0"/>
          <w:numId w:val="1"/>
        </w:numPr>
        <w:shd w:val="clear" w:color="auto" w:fill="auto"/>
        <w:tabs>
          <w:tab w:pos="1491" w:val="left"/>
        </w:tabs>
        <w:bidi w:val="0"/>
        <w:spacing w:before="0" w:after="0"/>
        <w:ind w:left="0" w:right="0" w:firstLine="560"/>
        <w:jc w:val="both"/>
      </w:pPr>
      <w:r>
        <w:rPr>
          <w:color w:val="000000"/>
          <w:spacing w:val="0"/>
          <w:w w:val="100"/>
          <w:position w:val="0"/>
          <w:shd w:val="clear" w:color="auto" w:fill="auto"/>
          <w:lang w:val="ru-RU" w:eastAsia="ru-RU" w:bidi="ru-RU"/>
        </w:rPr>
        <w:t>дата и время окончания срока подачи заявок 10.01.2025 10:00 (МСК+4);</w:t>
      </w:r>
    </w:p>
    <w:p>
      <w:pPr>
        <w:pStyle w:val="Style16"/>
        <w:keepNext w:val="0"/>
        <w:keepLines w:val="0"/>
        <w:widowControl w:val="0"/>
        <w:numPr>
          <w:ilvl w:val="0"/>
          <w:numId w:val="1"/>
        </w:numPr>
        <w:shd w:val="clear" w:color="auto" w:fill="auto"/>
        <w:tabs>
          <w:tab w:pos="931" w:val="left"/>
        </w:tabs>
        <w:bidi w:val="0"/>
        <w:spacing w:before="0" w:after="0"/>
        <w:ind w:left="0" w:right="0" w:firstLine="560"/>
        <w:jc w:val="both"/>
      </w:pPr>
      <w:r>
        <w:rPr>
          <w:color w:val="000000"/>
          <w:spacing w:val="0"/>
          <w:w w:val="100"/>
          <w:position w:val="0"/>
          <w:shd w:val="clear" w:color="auto" w:fill="auto"/>
          <w:lang w:val="ru-RU" w:eastAsia="ru-RU" w:bidi="ru-RU"/>
        </w:rPr>
        <w:t>дата проведения процедуры подачи предложений о цене контракта либо о сумме цен единиц товара, работы, услуги 10.01.2025;</w:t>
      </w:r>
    </w:p>
    <w:p>
      <w:pPr>
        <w:pStyle w:val="Style16"/>
        <w:keepNext w:val="0"/>
        <w:keepLines w:val="0"/>
        <w:widowControl w:val="0"/>
        <w:numPr>
          <w:ilvl w:val="0"/>
          <w:numId w:val="1"/>
        </w:numPr>
        <w:shd w:val="clear" w:color="auto" w:fill="auto"/>
        <w:tabs>
          <w:tab w:pos="931" w:val="left"/>
        </w:tabs>
        <w:bidi w:val="0"/>
        <w:spacing w:before="0" w:after="0"/>
        <w:ind w:left="0" w:right="0" w:firstLine="56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14.01.2025;</w:t>
      </w:r>
    </w:p>
    <w:p>
      <w:pPr>
        <w:pStyle w:val="Style16"/>
        <w:keepNext w:val="0"/>
        <w:keepLines w:val="0"/>
        <w:widowControl w:val="0"/>
        <w:numPr>
          <w:ilvl w:val="0"/>
          <w:numId w:val="1"/>
        </w:numPr>
        <w:shd w:val="clear" w:color="auto" w:fill="auto"/>
        <w:tabs>
          <w:tab w:pos="931" w:val="left"/>
        </w:tabs>
        <w:bidi w:val="0"/>
        <w:spacing w:before="0" w:after="0"/>
        <w:ind w:left="0" w:right="0" w:firstLine="56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14.01.2025 №ИЭА1 на участие в Аукционе было подано три заявки, из которых две были отклонены по следующим основаниям:</w:t>
      </w:r>
    </w:p>
    <w:p>
      <w:pPr>
        <w:pStyle w:val="Style16"/>
        <w:keepNext w:val="0"/>
        <w:keepLines w:val="0"/>
        <w:widowControl w:val="0"/>
        <w:numPr>
          <w:ilvl w:val="0"/>
          <w:numId w:val="1"/>
        </w:numPr>
        <w:shd w:val="clear" w:color="auto" w:fill="auto"/>
        <w:tabs>
          <w:tab w:pos="931" w:val="left"/>
        </w:tabs>
        <w:bidi w:val="0"/>
        <w:spacing w:before="0" w:after="0"/>
        <w:ind w:left="0" w:right="0" w:firstLine="560"/>
        <w:jc w:val="both"/>
      </w:pPr>
      <w:r>
        <w:rPr>
          <w:color w:val="000000"/>
          <w:spacing w:val="0"/>
          <w:w w:val="100"/>
          <w:position w:val="0"/>
          <w:shd w:val="clear" w:color="auto" w:fill="auto"/>
          <w:lang w:val="ru-RU" w:eastAsia="ru-RU" w:bidi="ru-RU"/>
        </w:rPr>
        <w:t>заявка с идентификационным номером № 118012921 отклонена на основании п.1 ч.12 ст.48 Закона о контрактной системе, поскольку в нарушение пи. «а» п.2 ч.1 ст. 43 Закона о контрактной системе, п.1 ч.2 Требований к содержанию, составу заявки: заявка на участие в электронном аукционе содержит характеристики не соответствующие показателям, установленным Извещением в части «Описание объекта закупки» по позиции (внутренний объем; кубический дециметр);</w:t>
      </w:r>
    </w:p>
    <w:p>
      <w:pPr>
        <w:pStyle w:val="Style16"/>
        <w:keepNext w:val="0"/>
        <w:keepLines w:val="0"/>
        <w:widowControl w:val="0"/>
        <w:numPr>
          <w:ilvl w:val="0"/>
          <w:numId w:val="1"/>
        </w:numPr>
        <w:shd w:val="clear" w:color="auto" w:fill="auto"/>
        <w:tabs>
          <w:tab w:pos="931" w:val="left"/>
        </w:tabs>
        <w:bidi w:val="0"/>
        <w:spacing w:before="0" w:after="0"/>
        <w:ind w:left="0" w:right="0" w:firstLine="560"/>
        <w:jc w:val="both"/>
      </w:pPr>
      <w:r>
        <w:rPr>
          <w:color w:val="000000"/>
          <w:spacing w:val="0"/>
          <w:w w:val="100"/>
          <w:position w:val="0"/>
          <w:shd w:val="clear" w:color="auto" w:fill="auto"/>
          <w:lang w:val="ru-RU" w:eastAsia="ru-RU" w:bidi="ru-RU"/>
        </w:rPr>
        <w:t xml:space="preserve">заявка с идентификационным номером № 117996605 отклонена на основании п.4 ч.12 ст.48 Закона о контрактной системе, п.4 ч.2 Требований к содержанию, составу заявки: заявка участника не соответствует условиям соблюдения </w:t>
      </w:r>
      <w:r>
        <w:rPr>
          <w:color w:val="000000"/>
          <w:spacing w:val="0"/>
          <w:w w:val="100"/>
          <w:position w:val="0"/>
          <w:shd w:val="clear" w:color="auto" w:fill="auto"/>
          <w:lang w:val="ru-RU" w:eastAsia="ru-RU" w:bidi="ru-RU"/>
        </w:rPr>
        <w:t>ограничений допуска промышленных товаров, происходящих из иностранных государств для целей осуществления закупок для государственных и муниципальных нужд в соответствии с Постановлением Правительства РФ от 30.04.2020 №617.</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По результатам подведения итогов определения поставщика (подрядчика, исполнителя) победителем аукциона признан участник закупки с идентификационным номером заявки № 118021353 и ценовым предложением 3 791 340,00 руб.</w:t>
      </w:r>
    </w:p>
    <w:p>
      <w:pPr>
        <w:pStyle w:val="Style16"/>
        <w:keepNext w:val="0"/>
        <w:keepLines w:val="0"/>
        <w:widowControl w:val="0"/>
        <w:shd w:val="clear" w:color="auto" w:fill="auto"/>
        <w:bidi w:val="0"/>
        <w:spacing w:before="0" w:after="360"/>
        <w:ind w:left="0" w:right="0" w:firstLine="560"/>
        <w:jc w:val="both"/>
      </w:pPr>
      <w:r>
        <w:rPr>
          <w:color w:val="000000"/>
          <w:spacing w:val="0"/>
          <w:w w:val="100"/>
          <w:position w:val="0"/>
          <w:shd w:val="clear" w:color="auto" w:fill="auto"/>
          <w:lang w:val="ru-RU" w:eastAsia="ru-RU" w:bidi="ru-RU"/>
        </w:rPr>
        <w:t>На момент рассмотрения жалобы контракт не заключен.</w:t>
      </w:r>
    </w:p>
    <w:p>
      <w:pPr>
        <w:pStyle w:val="Style16"/>
        <w:keepNext w:val="0"/>
        <w:keepLines w:val="0"/>
        <w:widowControl w:val="0"/>
        <w:shd w:val="clear" w:color="auto" w:fill="auto"/>
        <w:bidi w:val="0"/>
        <w:spacing w:before="0" w:after="0"/>
        <w:ind w:left="0" w:right="0" w:firstLine="560"/>
        <w:jc w:val="both"/>
      </w:pPr>
      <w:r>
        <w:rPr>
          <w:i/>
          <w:iCs/>
          <w:color w:val="000000"/>
          <w:spacing w:val="0"/>
          <w:w w:val="100"/>
          <w:position w:val="0"/>
          <w:shd w:val="clear" w:color="auto" w:fill="auto"/>
          <w:lang w:val="ru-RU" w:eastAsia="ru-RU" w:bidi="ru-RU"/>
        </w:rPr>
        <w:t>В отношении довода Заявителя об имеющихся со стороны Заказчика признаков нарушений пункта 1 части 1 статьи 33, части 2 статьи 33, пункта 1 части 2 статьи 42 Закона о контрактной системе, что в свою очередь приводит к ограничению количества участников закупки и нарушению прав и законных интересов Заявителя, Комиссия Хакасского УФАС России поясняет следующее.</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 xml:space="preserve">В соответствии с пунктом 1 части 2 статьи 105 Закона о контрактной системе, </w:t>
      </w:r>
      <w:r>
        <w:rPr>
          <w:b/>
          <w:bCs/>
          <w:color w:val="000000"/>
          <w:spacing w:val="0"/>
          <w:w w:val="100"/>
          <w:position w:val="0"/>
          <w:shd w:val="clear" w:color="auto" w:fill="auto"/>
          <w:lang w:val="ru-RU" w:eastAsia="ru-RU" w:bidi="ru-RU"/>
        </w:rPr>
        <w:t xml:space="preserve">жалоба на положения извещения об осуществлении закупки, </w:t>
      </w:r>
      <w:r>
        <w:rPr>
          <w:color w:val="000000"/>
          <w:spacing w:val="0"/>
          <w:w w:val="100"/>
          <w:position w:val="0"/>
          <w:shd w:val="clear" w:color="auto" w:fill="auto"/>
          <w:lang w:val="ru-RU" w:eastAsia="ru-RU" w:bidi="ru-RU"/>
        </w:rPr>
        <w:t xml:space="preserve">документации о закупке (в случае, если настоящим Федеральным законом предусмотрена документация о закупке) </w:t>
      </w:r>
      <w:r>
        <w:rPr>
          <w:b/>
          <w:bCs/>
          <w:color w:val="000000"/>
          <w:spacing w:val="0"/>
          <w:w w:val="100"/>
          <w:position w:val="0"/>
          <w:shd w:val="clear" w:color="auto" w:fill="auto"/>
          <w:lang w:val="ru-RU" w:eastAsia="ru-RU" w:bidi="ru-RU"/>
        </w:rPr>
        <w:t xml:space="preserve">может быть подана до окончания срока подачи заявок на участие в закупке. </w:t>
      </w:r>
      <w:r>
        <w:rPr>
          <w:color w:val="000000"/>
          <w:spacing w:val="0"/>
          <w:w w:val="100"/>
          <w:position w:val="0"/>
          <w:shd w:val="clear" w:color="auto" w:fill="auto"/>
          <w:lang w:val="ru-RU" w:eastAsia="ru-RU" w:bidi="ru-RU"/>
        </w:rPr>
        <w:t>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свою очередь, Заявитель указывает на нарушение Заказчиком положений Закона о контрактной системе, что выразилось во включении в Описание объекта закупки таких требований к товару, которые свидетельствуют о его конкретном производителе.</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При этом согласно Извещения об осуществлении закупки, срок окончания подачи заявок установлен до 10.01.2025 10:00 (МСК+4).</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Таким образом, учитывая факт того, что жалоба была размещена в ЕИС 18.01.2025, Заявителем пропущен срок для обжалования положений Извещения об осуществлении закупки, в связи с чем, указанный довод не подлежит рассмотрению.</w:t>
      </w:r>
    </w:p>
    <w:p>
      <w:pPr>
        <w:pStyle w:val="Style16"/>
        <w:keepNext w:val="0"/>
        <w:keepLines w:val="0"/>
        <w:widowControl w:val="0"/>
        <w:shd w:val="clear" w:color="auto" w:fill="auto"/>
        <w:bidi w:val="0"/>
        <w:spacing w:before="0" w:after="0"/>
        <w:ind w:left="0" w:right="0" w:firstLine="540"/>
        <w:jc w:val="both"/>
      </w:pPr>
      <w:r>
        <w:rPr>
          <w:i/>
          <w:iCs/>
          <w:color w:val="000000"/>
          <w:spacing w:val="0"/>
          <w:w w:val="100"/>
          <w:position w:val="0"/>
          <w:shd w:val="clear" w:color="auto" w:fill="auto"/>
          <w:lang w:val="ru-RU" w:eastAsia="ru-RU" w:bidi="ru-RU"/>
        </w:rPr>
        <w:t>В отношении довода Заявителя о неправомерном определении комиссией по осуществлению закупок победителя Аукциона, Комиссия Хакасского УФАС России приходит к следующим выводам.</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В соответствии с подпунктом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настоящего Федерального закона.</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Частью 12 статьи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pPr>
        <w:pStyle w:val="Style16"/>
        <w:keepNext w:val="0"/>
        <w:keepLines w:val="0"/>
        <w:widowControl w:val="0"/>
        <w:numPr>
          <w:ilvl w:val="0"/>
          <w:numId w:val="3"/>
        </w:numPr>
        <w:shd w:val="clear" w:color="auto" w:fill="auto"/>
        <w:tabs>
          <w:tab w:pos="941" w:val="left"/>
        </w:tabs>
        <w:bidi w:val="0"/>
        <w:spacing w:before="0" w:after="0"/>
        <w:ind w:left="0" w:right="0" w:firstLine="54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6"/>
        <w:keepNext w:val="0"/>
        <w:keepLines w:val="0"/>
        <w:widowControl w:val="0"/>
        <w:numPr>
          <w:ilvl w:val="0"/>
          <w:numId w:val="3"/>
        </w:numPr>
        <w:shd w:val="clear" w:color="auto" w:fill="auto"/>
        <w:tabs>
          <w:tab w:pos="941" w:val="left"/>
        </w:tabs>
        <w:bidi w:val="0"/>
        <w:spacing w:before="0" w:after="0"/>
        <w:ind w:left="0" w:right="0" w:firstLine="54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6"/>
        <w:keepNext w:val="0"/>
        <w:keepLines w:val="0"/>
        <w:widowControl w:val="0"/>
        <w:numPr>
          <w:ilvl w:val="0"/>
          <w:numId w:val="3"/>
        </w:numPr>
        <w:shd w:val="clear" w:color="auto" w:fill="auto"/>
        <w:tabs>
          <w:tab w:pos="941" w:val="left"/>
        </w:tabs>
        <w:bidi w:val="0"/>
        <w:spacing w:before="0" w:after="0"/>
        <w:ind w:left="0" w:right="0" w:firstLine="54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pPr>
        <w:pStyle w:val="Style16"/>
        <w:keepNext w:val="0"/>
        <w:keepLines w:val="0"/>
        <w:widowControl w:val="0"/>
        <w:numPr>
          <w:ilvl w:val="0"/>
          <w:numId w:val="3"/>
        </w:numPr>
        <w:shd w:val="clear" w:color="auto" w:fill="auto"/>
        <w:tabs>
          <w:tab w:pos="941" w:val="left"/>
        </w:tabs>
        <w:bidi w:val="0"/>
        <w:spacing w:before="0" w:after="0"/>
        <w:ind w:left="0" w:right="0" w:firstLine="540"/>
        <w:jc w:val="both"/>
      </w:pPr>
      <w:r>
        <w:rPr>
          <w:color w:val="000000"/>
          <w:spacing w:val="0"/>
          <w:w w:val="100"/>
          <w:position w:val="0"/>
          <w:shd w:val="clear" w:color="auto" w:fill="auto"/>
          <w:lang w:val="ru-RU" w:eastAsia="ru-RU" w:bidi="ru-RU"/>
        </w:rPr>
        <w:t>предусмотренных подпунктом "а" пункта 1 (за исключением случая, предусмотренного пунктом 5 настоящей части), подпунктом "а" пункта 2 части 4, подпунктом "а" пункта 1 (за исключением случая, предусмотренного пунктом 5 настоящей части), пунктом 2 части 5 статьи 14 настоящего Федерального закона;</w:t>
      </w:r>
    </w:p>
    <w:p>
      <w:pPr>
        <w:pStyle w:val="Style16"/>
        <w:keepNext w:val="0"/>
        <w:keepLines w:val="0"/>
        <w:widowControl w:val="0"/>
        <w:numPr>
          <w:ilvl w:val="0"/>
          <w:numId w:val="3"/>
        </w:numPr>
        <w:shd w:val="clear" w:color="auto" w:fill="auto"/>
        <w:tabs>
          <w:tab w:pos="941" w:val="left"/>
        </w:tabs>
        <w:bidi w:val="0"/>
        <w:spacing w:before="0" w:after="0"/>
        <w:ind w:left="0" w:right="0" w:firstLine="56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пунктом 5 части 1 статьи 43 настоящего Федерального закона, если такие информация и документы определены в соответствии с пунктом 2 части 2 статьи 14 настоящего Федерального закона (в случае установления в соответствии с подпунктом "а" пункта 1 части 2 статьи 14 настоящего Федерального закона в извещении об осуществлении закупки запрета закупок товара, происходящего из иностранного государства);</w:t>
      </w:r>
    </w:p>
    <w:p>
      <w:pPr>
        <w:pStyle w:val="Style16"/>
        <w:keepNext w:val="0"/>
        <w:keepLines w:val="0"/>
        <w:widowControl w:val="0"/>
        <w:numPr>
          <w:ilvl w:val="0"/>
          <w:numId w:val="3"/>
        </w:numPr>
        <w:shd w:val="clear" w:color="auto" w:fill="auto"/>
        <w:tabs>
          <w:tab w:pos="941" w:val="left"/>
        </w:tabs>
        <w:bidi w:val="0"/>
        <w:spacing w:before="0" w:after="0"/>
        <w:ind w:left="0" w:right="0" w:firstLine="56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пунктом 4 статьи 2 Федерального закона от 4 июня 2018 года Ы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6"/>
        <w:keepNext w:val="0"/>
        <w:keepLines w:val="0"/>
        <w:widowControl w:val="0"/>
        <w:numPr>
          <w:ilvl w:val="0"/>
          <w:numId w:val="3"/>
        </w:numPr>
        <w:shd w:val="clear" w:color="auto" w:fill="auto"/>
        <w:tabs>
          <w:tab w:pos="1481" w:val="left"/>
        </w:tabs>
        <w:bidi w:val="0"/>
        <w:spacing w:before="0" w:after="0"/>
        <w:ind w:left="0" w:right="0" w:firstLine="540"/>
        <w:jc w:val="both"/>
      </w:pPr>
      <w:r>
        <w:rPr>
          <w:color w:val="000000"/>
          <w:spacing w:val="0"/>
          <w:w w:val="100"/>
          <w:position w:val="0"/>
          <w:shd w:val="clear" w:color="auto" w:fill="auto"/>
          <w:lang w:val="ru-RU" w:eastAsia="ru-RU" w:bidi="ru-RU"/>
        </w:rPr>
        <w:t>предусмотренных частью 6 статьи 45 настоящего Федерального закона;</w:t>
      </w:r>
    </w:p>
    <w:p>
      <w:pPr>
        <w:pStyle w:val="Style16"/>
        <w:keepNext w:val="0"/>
        <w:keepLines w:val="0"/>
        <w:widowControl w:val="0"/>
        <w:numPr>
          <w:ilvl w:val="0"/>
          <w:numId w:val="3"/>
        </w:numPr>
        <w:shd w:val="clear" w:color="auto" w:fill="auto"/>
        <w:tabs>
          <w:tab w:pos="941" w:val="left"/>
        </w:tabs>
        <w:bidi w:val="0"/>
        <w:spacing w:before="0" w:after="0"/>
        <w:ind w:left="0" w:right="0" w:firstLine="56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16"/>
        <w:keepNext w:val="0"/>
        <w:keepLines w:val="0"/>
        <w:widowControl w:val="0"/>
        <w:numPr>
          <w:ilvl w:val="0"/>
          <w:numId w:val="3"/>
        </w:numPr>
        <w:shd w:val="clear" w:color="auto" w:fill="auto"/>
        <w:tabs>
          <w:tab w:pos="941" w:val="left"/>
        </w:tabs>
        <w:bidi w:val="0"/>
        <w:spacing w:before="0" w:after="0"/>
        <w:ind w:left="0" w:right="0" w:firstLine="56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пунктом 3 или пунктом 4 части 1 статьи 43 настоящего Федерального закона.</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Комиссия антимонопольного органа проанализировала заявку участника закупки с идентификационным номером № 118021353 и установила, что она соответствует требованиям Закона о контрактной системе и Извещения об осуществлении закупки, в том числе заявка победителя аукциона содержит предложение о поставке баллона БК-7-300АУ-1 с внутренним объемом 6,8 л., что в свою очередь соответствует требованиям Извещения об осуществлении закупки.</w:t>
      </w:r>
    </w:p>
    <w:p>
      <w:pPr>
        <w:pStyle w:val="Style16"/>
        <w:keepNext w:val="0"/>
        <w:keepLines w:val="0"/>
        <w:widowControl w:val="0"/>
        <w:shd w:val="clear" w:color="auto" w:fill="auto"/>
        <w:bidi w:val="0"/>
        <w:spacing w:before="0" w:after="360"/>
        <w:ind w:left="0" w:right="0" w:firstLine="560"/>
        <w:jc w:val="both"/>
      </w:pPr>
      <w:r>
        <w:rPr>
          <w:color w:val="000000"/>
          <w:spacing w:val="0"/>
          <w:w w:val="100"/>
          <w:position w:val="0"/>
          <w:shd w:val="clear" w:color="auto" w:fill="auto"/>
          <w:lang w:val="ru-RU" w:eastAsia="ru-RU" w:bidi="ru-RU"/>
        </w:rPr>
        <w:t>Таким образом, комиссия по осуществлению закупок, которая в силу подпункта а) пункта 1 части 5 статьи 49 Закона о контрактной системе, рассматривает заявки на участие в электронном аукционе исключительно на соответствие требованиям, установленным в Извещении, правомерно признала заявку такого участника соответствующей установленным требованиям, а участника закупки - победителем Аукциона. Доказательств обратного в материалы дела не представлено.</w:t>
      </w:r>
    </w:p>
    <w:p>
      <w:pPr>
        <w:pStyle w:val="Style16"/>
        <w:keepNext w:val="0"/>
        <w:keepLines w:val="0"/>
        <w:widowControl w:val="0"/>
        <w:shd w:val="clear" w:color="auto" w:fill="auto"/>
        <w:bidi w:val="0"/>
        <w:spacing w:before="0" w:after="0"/>
        <w:ind w:left="0" w:right="0" w:firstLine="560"/>
        <w:jc w:val="both"/>
      </w:pPr>
      <w:r>
        <w:rPr>
          <w:i/>
          <w:iCs/>
          <w:color w:val="000000"/>
          <w:spacing w:val="0"/>
          <w:w w:val="100"/>
          <w:position w:val="0"/>
          <w:shd w:val="clear" w:color="auto" w:fill="auto"/>
          <w:lang w:val="ru-RU" w:eastAsia="ru-RU" w:bidi="ru-RU"/>
        </w:rPr>
        <w:t>В результате проведения в соответствии с пунктом 1 части 15 статьи 99 Закона о контрактной системе внеплановой проверки, Комиссия установила следующее.</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 xml:space="preserve">Частью 2 статьи 8 Закона о контрактной системе определено, что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w:t>
      </w:r>
      <w:r>
        <w:rPr>
          <w:color w:val="000000"/>
          <w:spacing w:val="0"/>
          <w:w w:val="100"/>
          <w:position w:val="0"/>
          <w:shd w:val="clear" w:color="auto" w:fill="auto"/>
          <w:lang w:val="ru-RU" w:eastAsia="ru-RU" w:bidi="ru-RU"/>
        </w:rPr>
        <w:t>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В соответствии с пунктом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Согласно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В силу части 3 статьи 33 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 xml:space="preserve">Согласно пункту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РФ 28.06.2017, включение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w:t>
      </w:r>
      <w:r>
        <w:rPr>
          <w:color w:val="000000"/>
          <w:spacing w:val="0"/>
          <w:w w:val="100"/>
          <w:position w:val="0"/>
          <w:shd w:val="clear" w:color="auto" w:fill="auto"/>
          <w:lang w:val="ru-RU" w:eastAsia="ru-RU" w:bidi="ru-RU"/>
        </w:rPr>
        <w:t>является нарушением положений статьи 33 Закона о контрактной системе.</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Позиция ФАС России сводится к тому, что установление требований к объекту закупки, указывающих на единственного производителя, не позволяющих предложить к поставке аналогичный товар иного производителя, ограничивает количество участников закупки, так как приводит к несамостоятельным действиям участников при подаче ценовых предложений, поскольку такие действия обусловливаются ценовой политикой одного хозяйствующего субъекта производителя, в том числе способного оказать влияние на ценовые предложения различных поставщиков и (или) отказаться от заключения договоров поставки с ними.</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том случае, если закупаемый товар не предполагает специфики использования, потребность заказчика может быть удовлетворена аналогичным товаром различных производителей. При этом заказчику надлежит осуществить действия по обеспечению соответствия требованиям описания объекта закупки товаров как минимум двух производителей в целях расширения круга участников закупки, обеспечения экономии бюджетных средств путем наличия конкурентной среды при проведении электронного аукциона.</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Объектом закупки является поставка запасных металлокомпозитных баллонов с вентилем для дыхательных аппаратов, находящихся на вооружении ГКУ РХ «Противопожарная служба».</w:t>
      </w:r>
    </w:p>
    <w:p>
      <w:pPr>
        <w:pStyle w:val="Style2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В описании объекта закупки Заказчиком указано в том числе следующее:</w:t>
      </w:r>
    </w:p>
    <w:tbl>
      <w:tblPr>
        <w:tblOverlap w:val="never"/>
        <w:jc w:val="center"/>
        <w:tblLayout w:type="fixed"/>
      </w:tblPr>
      <w:tblGrid>
        <w:gridCol w:w="2093"/>
        <w:gridCol w:w="1589"/>
        <w:gridCol w:w="1574"/>
        <w:gridCol w:w="1829"/>
        <w:gridCol w:w="1618"/>
        <w:gridCol w:w="1622"/>
      </w:tblGrid>
      <w:tr>
        <w:trPr>
          <w:trHeight w:val="331" w:hRule="exact"/>
        </w:trPr>
        <w:tc>
          <w:tcPr>
            <w:gridSpan w:val="4"/>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Характеристики товара, работы, услуги</w:t>
            </w:r>
          </w:p>
        </w:tc>
        <w:tc>
          <w:tcPr>
            <w:vMerge w:val="restart"/>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54"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Количество (объем работы, услуги)</w:t>
            </w:r>
          </w:p>
        </w:tc>
        <w:tc>
          <w:tcPr>
            <w:vMerge w:val="restart"/>
            <w:tcBorders>
              <w:top w:val="single" w:sz="4"/>
              <w:left w:val="single" w:sz="4"/>
              <w:right w:val="single" w:sz="4"/>
            </w:tcBorders>
            <w:shd w:val="clear" w:color="auto" w:fill="auto"/>
            <w:vAlign w:val="top"/>
          </w:tcPr>
          <w:p>
            <w:pPr>
              <w:pStyle w:val="Style2"/>
              <w:keepNext w:val="0"/>
              <w:keepLines w:val="0"/>
              <w:widowControl w:val="0"/>
              <w:shd w:val="clear" w:color="auto" w:fill="auto"/>
              <w:bidi w:val="0"/>
              <w:spacing w:before="0" w:after="0" w:line="254"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Единица измерения</w:t>
            </w:r>
          </w:p>
        </w:tc>
      </w:tr>
      <w:tr>
        <w:trPr>
          <w:trHeight w:val="1018"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54"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Наименование характеристики</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54"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Значение характеристики</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54"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Единица измерения характеристики</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54"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Инструкция по заполнению характеристик в заявке</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691"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Внутренний объем</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&gt;6.8и&lt;7</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Лигр; кубический дециметр</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Участник закупки указывает в заявке конкретное значение</w:t>
            </w:r>
          </w:p>
        </w:tc>
        <w:tc>
          <w:tcPr>
            <w:vMerge w:val="restart"/>
            <w:tcBorders>
              <w:top w:val="single" w:sz="4"/>
              <w:left w:val="single" w:sz="4"/>
            </w:tcBorders>
            <w:shd w:val="clear" w:color="auto" w:fill="auto"/>
            <w:vAlign w:val="top"/>
          </w:tcPr>
          <w:p>
            <w:pPr>
              <w:pStyle w:val="Style2"/>
              <w:keepNext w:val="0"/>
              <w:keepLines w:val="0"/>
              <w:widowControl w:val="0"/>
              <w:shd w:val="clear" w:color="auto" w:fill="auto"/>
              <w:bidi w:val="0"/>
              <w:spacing w:before="220" w:after="0" w:line="240" w:lineRule="auto"/>
              <w:ind w:left="0" w:right="0" w:firstLine="0"/>
              <w:jc w:val="center"/>
              <w:rPr>
                <w:sz w:val="17"/>
                <w:szCs w:val="17"/>
              </w:rPr>
            </w:pPr>
            <w:r>
              <w:rPr>
                <w:i/>
                <w:iCs/>
                <w:color w:val="000000"/>
                <w:spacing w:val="0"/>
                <w:w w:val="100"/>
                <w:position w:val="0"/>
                <w:sz w:val="17"/>
                <w:szCs w:val="17"/>
                <w:shd w:val="clear" w:color="auto" w:fill="auto"/>
                <w:lang w:val="ru-RU" w:eastAsia="ru-RU" w:bidi="ru-RU"/>
              </w:rPr>
              <w:t>42,00</w:t>
            </w:r>
          </w:p>
        </w:tc>
        <w:tc>
          <w:tcPr>
            <w:vMerge w:val="restart"/>
            <w:tcBorders>
              <w:top w:val="single" w:sz="4"/>
              <w:left w:val="single" w:sz="4"/>
              <w:right w:val="single" w:sz="4"/>
            </w:tcBorders>
            <w:shd w:val="clear" w:color="auto" w:fill="auto"/>
            <w:vAlign w:val="top"/>
          </w:tcPr>
          <w:p>
            <w:pPr>
              <w:pStyle w:val="Style2"/>
              <w:keepNext w:val="0"/>
              <w:keepLines w:val="0"/>
              <w:widowControl w:val="0"/>
              <w:shd w:val="clear" w:color="auto" w:fill="auto"/>
              <w:bidi w:val="0"/>
              <w:spacing w:before="220" w:after="0" w:line="240" w:lineRule="auto"/>
              <w:ind w:left="0" w:right="0" w:firstLine="0"/>
              <w:jc w:val="center"/>
              <w:rPr>
                <w:sz w:val="17"/>
                <w:szCs w:val="17"/>
              </w:rPr>
            </w:pPr>
            <w:r>
              <w:rPr>
                <w:i/>
                <w:iCs/>
                <w:color w:val="000000"/>
                <w:spacing w:val="0"/>
                <w:w w:val="100"/>
                <w:position w:val="0"/>
                <w:sz w:val="17"/>
                <w:szCs w:val="17"/>
                <w:shd w:val="clear" w:color="auto" w:fill="auto"/>
                <w:lang w:val="ru-RU" w:eastAsia="ru-RU" w:bidi="ru-RU"/>
              </w:rPr>
              <w:t>Штука</w:t>
            </w:r>
          </w:p>
        </w:tc>
      </w:tr>
      <w:tr>
        <w:trPr>
          <w:trHeight w:val="691"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59" w:lineRule="auto"/>
              <w:ind w:left="0" w:right="0" w:firstLine="0"/>
              <w:jc w:val="center"/>
              <w:rPr>
                <w:sz w:val="17"/>
                <w:szCs w:val="17"/>
              </w:rPr>
            </w:pPr>
            <w:r>
              <w:rPr>
                <w:color w:val="000000"/>
                <w:spacing w:val="0"/>
                <w:w w:val="100"/>
                <w:position w:val="0"/>
                <w:sz w:val="17"/>
                <w:szCs w:val="17"/>
                <w:shd w:val="clear" w:color="auto" w:fill="auto"/>
                <w:lang w:val="ru-RU" w:eastAsia="ru-RU" w:bidi="ru-RU"/>
              </w:rPr>
              <w:t>Рабочее давление, кгс/см 2</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&gt;300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Участник закупки указывает в заявке конкретное значение</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773"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57" w:lineRule="auto"/>
              <w:ind w:left="0" w:right="0" w:firstLine="0"/>
              <w:jc w:val="center"/>
              <w:rPr>
                <w:sz w:val="17"/>
                <w:szCs w:val="17"/>
              </w:rPr>
            </w:pPr>
            <w:r>
              <w:rPr>
                <w:color w:val="000000"/>
                <w:spacing w:val="0"/>
                <w:w w:val="100"/>
                <w:position w:val="0"/>
                <w:sz w:val="17"/>
                <w:szCs w:val="17"/>
                <w:shd w:val="clear" w:color="auto" w:fill="auto"/>
                <w:lang w:val="ru-RU" w:eastAsia="ru-RU" w:bidi="ru-RU"/>
              </w:rPr>
              <w:t>Допустимое количество циклов наполнения (заправок)</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&gt;7500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Участник закупки указывает в заявке конкретное значение ХЯПЯТГГАПЫГ.ТИТГИ</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922"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Масса баллона без вентиля, кг</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&lt;3.8</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Килограмм</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Участник закупки указывает в заявке конкретное значение характеристики</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922" w:hRule="exact"/>
        </w:trPr>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Резьба в горловине</w:t>
            </w:r>
          </w:p>
        </w:tc>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59" w:lineRule="auto"/>
              <w:ind w:left="0" w:right="0" w:firstLine="0"/>
              <w:jc w:val="center"/>
              <w:rPr>
                <w:sz w:val="17"/>
                <w:szCs w:val="17"/>
              </w:rPr>
            </w:pPr>
            <w:r>
              <w:rPr>
                <w:color w:val="000000"/>
                <w:spacing w:val="0"/>
                <w:w w:val="100"/>
                <w:position w:val="0"/>
                <w:sz w:val="17"/>
                <w:szCs w:val="17"/>
                <w:shd w:val="clear" w:color="auto" w:fill="auto"/>
                <w:lang w:val="ru-RU" w:eastAsia="ru-RU" w:bidi="ru-RU"/>
              </w:rPr>
              <w:t>Метрическая М18х1,5</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Значение характеристики не может изменяться участником закупки</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2093"/>
        <w:gridCol w:w="1589"/>
        <w:gridCol w:w="1574"/>
        <w:gridCol w:w="1829"/>
        <w:gridCol w:w="1618"/>
        <w:gridCol w:w="1622"/>
      </w:tblGrid>
      <w:tr>
        <w:trPr>
          <w:trHeight w:val="922"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Подсоединение вентиля баллона к редуктору</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Резьбовое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Значение характеристики не может изменяться участником закупки</w:t>
            </w:r>
          </w:p>
        </w:tc>
        <w:tc>
          <w:tcPr>
            <w:vMerge w:val="restart"/>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right w:val="single" w:sz="4"/>
            </w:tcBorders>
            <w:shd w:val="clear" w:color="auto" w:fill="auto"/>
            <w:vAlign w:val="top"/>
          </w:tcPr>
          <w:p>
            <w:pPr>
              <w:widowControl w:val="0"/>
              <w:rPr>
                <w:sz w:val="10"/>
                <w:szCs w:val="10"/>
              </w:rPr>
            </w:pPr>
          </w:p>
        </w:tc>
      </w:tr>
      <w:tr>
        <w:trPr>
          <w:trHeight w:val="917"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Длина баллона, мм</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&gt; 523 и &lt; 570</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Миллиметр</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Участник закупки указывает в заявке конкретное значение характеристики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917"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Диаметр баллона, мм</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&gt; 150 и&lt; 161</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Миллиметр</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Участник закупки указывает в заявке конкретное значение характеристики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2088"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Чехол для баллона</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Брезентовый чехол для баллона, с поперечной световозвращающ ей полосой, затягивающийся у горловины шнуром</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Значение характеристики не может изменяться участником закупки</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042"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Вентиль М8А арт. В4073933 или арт. В4073934** для присоединения к баллону</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метрическая резьба - М 18x1,5</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57" w:lineRule="auto"/>
              <w:ind w:left="0" w:right="0" w:firstLine="0"/>
              <w:jc w:val="center"/>
              <w:rPr>
                <w:sz w:val="17"/>
                <w:szCs w:val="17"/>
              </w:rPr>
            </w:pPr>
            <w:r>
              <w:rPr>
                <w:color w:val="000000"/>
                <w:spacing w:val="0"/>
                <w:w w:val="100"/>
                <w:position w:val="0"/>
                <w:sz w:val="17"/>
                <w:szCs w:val="17"/>
                <w:shd w:val="clear" w:color="auto" w:fill="auto"/>
                <w:lang w:val="ru-RU" w:eastAsia="ru-RU" w:bidi="ru-RU"/>
              </w:rPr>
              <w:t>Значение характеристики не может изменяться участником закупки</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123"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Вентиль М8А арт. В4073933 или арт. В4073934** для присоединения к баллону</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резьба - Ст 5/8</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Значение характеристики не может изменяться участником закупки</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022"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Назначение</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Предназначен для хранения и транспортировки запаса сжатого воздуха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57" w:lineRule="auto"/>
              <w:ind w:left="0" w:right="0" w:firstLine="0"/>
              <w:jc w:val="center"/>
              <w:rPr>
                <w:sz w:val="17"/>
                <w:szCs w:val="17"/>
              </w:rPr>
            </w:pPr>
            <w:r>
              <w:rPr>
                <w:color w:val="000000"/>
                <w:spacing w:val="0"/>
                <w:w w:val="100"/>
                <w:position w:val="0"/>
                <w:sz w:val="17"/>
                <w:szCs w:val="17"/>
                <w:shd w:val="clear" w:color="auto" w:fill="auto"/>
                <w:lang w:val="ru-RU" w:eastAsia="ru-RU" w:bidi="ru-RU"/>
              </w:rPr>
              <w:t>Значение характеристики не может изменяться участником закупки</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58" w:hRule="exact"/>
        </w:trPr>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Конструкция</w:t>
            </w:r>
          </w:p>
        </w:tc>
        <w:tc>
          <w:tcPr>
            <w:tcBorders>
              <w:top w:val="single" w:sz="4"/>
              <w:left w:val="single" w:sz="4"/>
              <w:bottom w:val="single" w:sz="4"/>
            </w:tcBorders>
            <w:shd w:val="clear" w:color="auto" w:fill="auto"/>
            <w:vAlign w:val="bottom"/>
          </w:tcPr>
          <w:p>
            <w:pPr>
              <w:pStyle w:val="Style2"/>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Лейнер из алюминиевого сплава или нержавеющей стали. Наружный армирующий слой из композитного материала</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Значение характеристики не может изменяться участником закупки</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pStyle w:val="Style13"/>
        <w:keepNext w:val="0"/>
        <w:keepLines w:val="0"/>
        <w:widowControl w:val="0"/>
        <w:shd w:val="clear" w:color="auto" w:fill="auto"/>
        <w:bidi w:val="0"/>
        <w:spacing w:before="0" w:after="0" w:line="233" w:lineRule="auto"/>
        <w:ind w:left="0" w:right="0" w:firstLine="0"/>
        <w:jc w:val="both"/>
      </w:pPr>
      <w:r>
        <w:rPr>
          <w:b/>
          <w:bCs/>
          <w:i/>
          <w:iCs/>
          <w:color w:val="000000"/>
          <w:spacing w:val="0"/>
          <w:w w:val="100"/>
          <w:position w:val="0"/>
          <w:shd w:val="clear" w:color="auto" w:fill="auto"/>
          <w:lang w:val="ru-RU" w:eastAsia="ru-RU" w:bidi="ru-RU"/>
        </w:rPr>
        <w:t>* Баллон и вентиль должны быть сертифицированы для использования в составе дыхательных аппаратов МБААБЕКАггвО и ЛиСоПх (АйХргем! Г и е-/) находящихся на вооружении ГКУ РХ «Противопожарная служба».</w:t>
      </w:r>
    </w:p>
    <w:p>
      <w:pPr>
        <w:pStyle w:val="Style13"/>
        <w:keepNext w:val="0"/>
        <w:keepLines w:val="0"/>
        <w:widowControl w:val="0"/>
        <w:shd w:val="clear" w:color="auto" w:fill="auto"/>
        <w:bidi w:val="0"/>
        <w:spacing w:before="0" w:after="0"/>
        <w:ind w:left="0" w:right="0" w:firstLine="700"/>
        <w:jc w:val="left"/>
      </w:pPr>
      <w:r>
        <w:rPr>
          <w:color w:val="000000"/>
          <w:spacing w:val="0"/>
          <w:w w:val="100"/>
          <w:position w:val="0"/>
          <w:shd w:val="clear" w:color="auto" w:fill="auto"/>
          <w:lang w:val="ru-RU" w:eastAsia="ru-RU" w:bidi="ru-RU"/>
        </w:rPr>
        <w:t>Периодичность технического освидетельствования: не реже 1 раза в 5 лет;</w:t>
      </w:r>
    </w:p>
    <w:p>
      <w:pPr>
        <w:pStyle w:val="Style13"/>
        <w:keepNext w:val="0"/>
        <w:keepLines w:val="0"/>
        <w:widowControl w:val="0"/>
        <w:shd w:val="clear" w:color="auto" w:fill="auto"/>
        <w:bidi w:val="0"/>
        <w:spacing w:before="0" w:after="0"/>
        <w:ind w:left="0" w:right="0" w:firstLine="700"/>
        <w:jc w:val="left"/>
      </w:pPr>
      <w:r>
        <w:rPr>
          <w:b/>
          <w:bCs/>
          <w:i/>
          <w:iCs/>
          <w:color w:val="000000"/>
          <w:spacing w:val="0"/>
          <w:w w:val="100"/>
          <w:position w:val="0"/>
          <w:shd w:val="clear" w:color="auto" w:fill="auto"/>
          <w:lang w:val="ru-RU" w:eastAsia="ru-RU" w:bidi="ru-RU"/>
        </w:rPr>
        <w:t>Срок службы баллона не менее 15 лет.</w:t>
      </w:r>
    </w:p>
    <w:p>
      <w:pPr>
        <w:pStyle w:val="Style13"/>
        <w:keepNext w:val="0"/>
        <w:keepLines w:val="0"/>
        <w:widowControl w:val="0"/>
        <w:shd w:val="clear" w:color="auto" w:fill="auto"/>
        <w:bidi w:val="0"/>
        <w:spacing w:before="0" w:after="0"/>
        <w:ind w:left="0" w:right="0" w:firstLine="700"/>
        <w:jc w:val="left"/>
      </w:pPr>
      <w:r>
        <w:rPr>
          <w:b/>
          <w:bCs/>
          <w:color w:val="000000"/>
          <w:spacing w:val="0"/>
          <w:w w:val="100"/>
          <w:position w:val="0"/>
          <w:shd w:val="clear" w:color="auto" w:fill="auto"/>
          <w:lang w:val="ru-RU" w:eastAsia="ru-RU" w:bidi="ru-RU"/>
        </w:rPr>
        <w:t>Требования к качеству Товара:</w:t>
      </w:r>
    </w:p>
    <w:p>
      <w:pPr>
        <w:pStyle w:val="Style13"/>
        <w:keepNext w:val="0"/>
        <w:keepLines w:val="0"/>
        <w:widowControl w:val="0"/>
        <w:shd w:val="clear" w:color="auto" w:fill="auto"/>
        <w:bidi w:val="0"/>
        <w:spacing w:before="0" w:after="0"/>
        <w:ind w:left="0" w:right="0" w:firstLine="700"/>
        <w:jc w:val="left"/>
      </w:pPr>
      <w:r>
        <w:rPr>
          <w:color w:val="000000"/>
          <w:spacing w:val="0"/>
          <w:w w:val="100"/>
          <w:position w:val="0"/>
          <w:shd w:val="clear" w:color="auto" w:fill="auto"/>
          <w:lang w:val="ru-RU" w:eastAsia="ru-RU" w:bidi="ru-RU"/>
        </w:rPr>
        <w:t>Баллоны с вентилем должны соответствовать требованиям, изложенным в:</w:t>
      </w:r>
    </w:p>
    <w:p>
      <w:pPr>
        <w:pStyle w:val="Style13"/>
        <w:keepNext w:val="0"/>
        <w:keepLines w:val="0"/>
        <w:widowControl w:val="0"/>
        <w:numPr>
          <w:ilvl w:val="0"/>
          <w:numId w:val="5"/>
        </w:numPr>
        <w:shd w:val="clear" w:color="auto" w:fill="auto"/>
        <w:tabs>
          <w:tab w:pos="948" w:val="left"/>
        </w:tabs>
        <w:bidi w:val="0"/>
        <w:spacing w:before="0" w:after="0"/>
        <w:ind w:left="0" w:right="0"/>
        <w:jc w:val="both"/>
      </w:pPr>
      <w:r>
        <w:rPr>
          <w:color w:val="000000"/>
          <w:spacing w:val="0"/>
          <w:w w:val="100"/>
          <w:position w:val="0"/>
          <w:shd w:val="clear" w:color="auto" w:fill="auto"/>
          <w:lang w:val="ru-RU" w:eastAsia="ru-RU" w:bidi="ru-RU"/>
        </w:rPr>
        <w:t>ГОСТ Р 53258-2019 Национальный стандарт Российской Федерации «Техника пожарная. Баллоны для дыхательных аппаратов со сжатым воздухом для пожарных. Общие технические требования. Методы испытаний».</w:t>
      </w:r>
    </w:p>
    <w:p>
      <w:pPr>
        <w:pStyle w:val="Style13"/>
        <w:keepNext w:val="0"/>
        <w:keepLines w:val="0"/>
        <w:widowControl w:val="0"/>
        <w:shd w:val="clear" w:color="auto" w:fill="auto"/>
        <w:bidi w:val="0"/>
        <w:spacing w:before="0" w:after="0"/>
        <w:ind w:left="0" w:right="0" w:firstLine="700"/>
        <w:jc w:val="left"/>
      </w:pPr>
      <w:r>
        <w:rPr>
          <w:b/>
          <w:bCs/>
          <w:color w:val="000000"/>
          <w:spacing w:val="0"/>
          <w:w w:val="100"/>
          <w:position w:val="0"/>
          <w:shd w:val="clear" w:color="auto" w:fill="auto"/>
          <w:lang w:val="ru-RU" w:eastAsia="ru-RU" w:bidi="ru-RU"/>
        </w:rPr>
        <w:t>Баллон должен иметь:</w:t>
      </w:r>
    </w:p>
    <w:p>
      <w:pPr>
        <w:pStyle w:val="Style13"/>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сертификат соответствия требованиям технического регламента Таможенного союза ТР ТС 032/2013 «О безопасности оборудования, работающего под избыточным давлением», заверенная копия;</w:t>
      </w:r>
    </w:p>
    <w:p>
      <w:pPr>
        <w:pStyle w:val="Style13"/>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сертификат соответствия требованиям технического регламента ТР ЕАЭС 043/2017 «О требованиях к средствам обеспечения пожарной безопасности и пожаротушения», заверенная копия;</w:t>
      </w:r>
    </w:p>
    <w:p>
      <w:pPr>
        <w:pStyle w:val="Style13"/>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эксплуатационная документация (паспорт и руководство по эксплуатации) на русском языке и в виде подлинных документов производителя.</w:t>
      </w:r>
    </w:p>
    <w:p>
      <w:pPr>
        <w:pStyle w:val="Style13"/>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Данные документы передаются Поставщиком Покупателю при поставке совместно с Товаром.</w:t>
      </w:r>
    </w:p>
    <w:p>
      <w:pPr>
        <w:pStyle w:val="Style13"/>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Товар должен отвечать требованиям качества, безопасности жизни и здоровья, а также иным требованиям, если такие требования предъявляются действующим законодательством Российской Федерации.</w:t>
      </w:r>
    </w:p>
    <w:p>
      <w:pPr>
        <w:pStyle w:val="Style13"/>
        <w:keepNext w:val="0"/>
        <w:keepLines w:val="0"/>
        <w:widowControl w:val="0"/>
        <w:shd w:val="clear" w:color="auto" w:fill="auto"/>
        <w:bidi w:val="0"/>
        <w:spacing w:before="0" w:after="0"/>
        <w:ind w:left="0" w:right="0"/>
        <w:jc w:val="both"/>
      </w:pPr>
      <w:r>
        <w:rPr>
          <w:b/>
          <w:bCs/>
          <w:color w:val="000000"/>
          <w:spacing w:val="0"/>
          <w:w w:val="100"/>
          <w:position w:val="0"/>
          <w:shd w:val="clear" w:color="auto" w:fill="auto"/>
          <w:lang w:val="ru-RU" w:eastAsia="ru-RU" w:bidi="ru-RU"/>
        </w:rPr>
        <w:t>Поставляемый товар должен быть новым, не бывшим в употреблении, изготовленным не ранее 3 квартала 2024 года (баллон) не ранее 3 квартала 2024 года (вентиль).</w:t>
      </w:r>
    </w:p>
    <w:p>
      <w:pPr>
        <w:pStyle w:val="Style13"/>
        <w:keepNext w:val="0"/>
        <w:keepLines w:val="0"/>
        <w:widowControl w:val="0"/>
        <w:shd w:val="clear" w:color="auto" w:fill="auto"/>
        <w:bidi w:val="0"/>
        <w:spacing w:before="0" w:after="0"/>
        <w:ind w:left="0" w:right="0"/>
        <w:jc w:val="both"/>
      </w:pPr>
      <w:r>
        <w:rPr>
          <w:b/>
          <w:bCs/>
          <w:color w:val="000000"/>
          <w:spacing w:val="0"/>
          <w:w w:val="100"/>
          <w:position w:val="0"/>
          <w:shd w:val="clear" w:color="auto" w:fill="auto"/>
          <w:lang w:val="ru-RU" w:eastAsia="ru-RU" w:bidi="ru-RU"/>
        </w:rPr>
        <w:t>Требования к упаковке, отгрузке и поставке Товара:</w:t>
      </w:r>
    </w:p>
    <w:p>
      <w:pPr>
        <w:pStyle w:val="Style13"/>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Поставляемый товар поставляется в индивидуальной невскрытой упаковке. Упаковка должна предохранять поставляемый товар от всякого рода повреждений, утраты товарного вида, при перевозке его различными видами транспорта с учетом перегрузок в пути и длительного хранения. Транспортирование и упаковка осуществляются в соответствии с требованиями руководства по эксплуатации поставляемого товара.</w:t>
      </w:r>
    </w:p>
    <w:p>
      <w:pPr>
        <w:pStyle w:val="Style13"/>
        <w:keepNext w:val="0"/>
        <w:keepLines w:val="0"/>
        <w:widowControl w:val="0"/>
        <w:shd w:val="clear" w:color="auto" w:fill="auto"/>
        <w:bidi w:val="0"/>
        <w:spacing w:before="0" w:after="0"/>
        <w:ind w:left="0" w:right="0"/>
        <w:jc w:val="both"/>
      </w:pPr>
      <w:r>
        <w:rPr>
          <w:b/>
          <w:bCs/>
          <w:color w:val="000000"/>
          <w:spacing w:val="0"/>
          <w:w w:val="100"/>
          <w:position w:val="0"/>
          <w:shd w:val="clear" w:color="auto" w:fill="auto"/>
          <w:lang w:val="ru-RU" w:eastAsia="ru-RU" w:bidi="ru-RU"/>
        </w:rPr>
        <w:t>Гарантийный срок эксплуатации и хранения:</w:t>
      </w:r>
    </w:p>
    <w:p>
      <w:pPr>
        <w:pStyle w:val="Style13"/>
        <w:keepNext w:val="0"/>
        <w:keepLines w:val="0"/>
        <w:widowControl w:val="0"/>
        <w:numPr>
          <w:ilvl w:val="0"/>
          <w:numId w:val="5"/>
        </w:numPr>
        <w:shd w:val="clear" w:color="auto" w:fill="auto"/>
        <w:tabs>
          <w:tab w:pos="1598" w:val="left"/>
        </w:tabs>
        <w:bidi w:val="0"/>
        <w:spacing w:before="0" w:after="0"/>
        <w:ind w:left="0" w:right="0"/>
        <w:jc w:val="both"/>
      </w:pPr>
      <w:r>
        <w:rPr>
          <w:b/>
          <w:bCs/>
          <w:i/>
          <w:iCs/>
          <w:color w:val="000000"/>
          <w:spacing w:val="0"/>
          <w:w w:val="100"/>
          <w:position w:val="0"/>
          <w:shd w:val="clear" w:color="auto" w:fill="auto"/>
          <w:lang w:val="ru-RU" w:eastAsia="ru-RU" w:bidi="ru-RU"/>
        </w:rPr>
        <w:t>не менее 12 месяцев с даты поставки Товара.</w:t>
      </w:r>
    </w:p>
    <w:p>
      <w:pPr>
        <w:pStyle w:val="Style13"/>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Указанные сроки действительны при соблюдении потребителем правил хранения, транспортирования и эксплуатации, установленных эксплуатационной документацией на изделие, в состав которого входит баллон.</w:t>
      </w:r>
    </w:p>
    <w:p>
      <w:pPr>
        <w:pStyle w:val="Style13"/>
        <w:keepNext w:val="0"/>
        <w:keepLines w:val="0"/>
        <w:widowControl w:val="0"/>
        <w:shd w:val="clear" w:color="auto" w:fill="auto"/>
        <w:bidi w:val="0"/>
        <w:spacing w:before="0" w:after="220"/>
        <w:ind w:left="0" w:right="0"/>
        <w:jc w:val="both"/>
      </w:pPr>
      <w:r>
        <w:rPr>
          <w:color w:val="000000"/>
          <w:spacing w:val="0"/>
          <w:w w:val="100"/>
          <w:position w:val="0"/>
          <w:shd w:val="clear" w:color="auto" w:fill="auto"/>
          <w:lang w:val="ru-RU" w:eastAsia="ru-RU" w:bidi="ru-RU"/>
        </w:rPr>
        <w:t>Гарантийные обязательства Поставщика исчисляются с момента передачи Товара Заказчику. Поставщик несет ответственность за недостатки (дефекты) товара, обнаруженные в пределах гарантийного срока поставляемого Товара.</w:t>
      </w:r>
    </w:p>
    <w:p>
      <w:pPr>
        <w:pStyle w:val="Style16"/>
        <w:keepNext w:val="0"/>
        <w:keepLines w:val="0"/>
        <w:widowControl w:val="0"/>
        <w:shd w:val="clear" w:color="auto" w:fill="auto"/>
        <w:bidi w:val="0"/>
        <w:spacing w:before="0" w:after="0"/>
        <w:ind w:left="0" w:right="0" w:firstLine="620"/>
        <w:jc w:val="both"/>
      </w:pPr>
      <w:r>
        <w:rPr>
          <w:color w:val="000000"/>
          <w:spacing w:val="0"/>
          <w:w w:val="100"/>
          <w:position w:val="0"/>
          <w:shd w:val="clear" w:color="auto" w:fill="auto"/>
          <w:lang w:val="ru-RU" w:eastAsia="ru-RU" w:bidi="ru-RU"/>
        </w:rPr>
        <w:t>Из вышеуказанного Описания объекта закупки следует, что Заказчику к поставке требуются баллоны металлокомпозитные с вентилем, которые одновременно соответствуют следующим условиям:</w:t>
      </w:r>
    </w:p>
    <w:p>
      <w:pPr>
        <w:pStyle w:val="Style16"/>
        <w:keepNext w:val="0"/>
        <w:keepLines w:val="0"/>
        <w:widowControl w:val="0"/>
        <w:numPr>
          <w:ilvl w:val="0"/>
          <w:numId w:val="5"/>
        </w:numPr>
        <w:shd w:val="clear" w:color="auto" w:fill="auto"/>
        <w:tabs>
          <w:tab w:pos="878" w:val="left"/>
        </w:tabs>
        <w:bidi w:val="0"/>
        <w:spacing w:before="0" w:after="0"/>
        <w:ind w:left="0" w:right="0" w:firstLine="620"/>
        <w:jc w:val="both"/>
      </w:pPr>
      <w:r>
        <w:rPr>
          <w:color w:val="000000"/>
          <w:spacing w:val="0"/>
          <w:w w:val="100"/>
          <w:position w:val="0"/>
          <w:shd w:val="clear" w:color="auto" w:fill="auto"/>
          <w:lang w:val="ru-RU" w:eastAsia="ru-RU" w:bidi="ru-RU"/>
        </w:rPr>
        <w:t>соответствуют всем техническим характеристикам, указанным Заказчиком в описании объекта закупки;</w:t>
      </w:r>
    </w:p>
    <w:p>
      <w:pPr>
        <w:pStyle w:val="Style16"/>
        <w:keepNext w:val="0"/>
        <w:keepLines w:val="0"/>
        <w:widowControl w:val="0"/>
        <w:numPr>
          <w:ilvl w:val="0"/>
          <w:numId w:val="5"/>
        </w:numPr>
        <w:shd w:val="clear" w:color="auto" w:fill="auto"/>
        <w:tabs>
          <w:tab w:pos="878" w:val="left"/>
        </w:tabs>
        <w:bidi w:val="0"/>
        <w:spacing w:before="0" w:after="0"/>
        <w:ind w:left="0" w:right="0" w:firstLine="620"/>
        <w:jc w:val="both"/>
      </w:pPr>
      <w:r>
        <w:rPr>
          <w:color w:val="000000"/>
          <w:spacing w:val="0"/>
          <w:w w:val="100"/>
          <w:position w:val="0"/>
          <w:shd w:val="clear" w:color="auto" w:fill="auto"/>
          <w:lang w:val="ru-RU" w:eastAsia="ru-RU" w:bidi="ru-RU"/>
        </w:rPr>
        <w:t>имеют сертификат соответствия требованиям технического регламента Таможенного союза ТР ТС 032/2013 «О безопасности оборудования, работающего под избыточным давлением» (далее - ТР ТС 032/2013);</w:t>
      </w:r>
    </w:p>
    <w:p>
      <w:pPr>
        <w:pStyle w:val="Style16"/>
        <w:keepNext w:val="0"/>
        <w:keepLines w:val="0"/>
        <w:widowControl w:val="0"/>
        <w:numPr>
          <w:ilvl w:val="0"/>
          <w:numId w:val="5"/>
        </w:numPr>
        <w:shd w:val="clear" w:color="auto" w:fill="auto"/>
        <w:tabs>
          <w:tab w:pos="878" w:val="left"/>
        </w:tabs>
        <w:bidi w:val="0"/>
        <w:spacing w:before="0" w:after="0"/>
        <w:ind w:left="0" w:right="0" w:firstLine="620"/>
        <w:jc w:val="both"/>
      </w:pPr>
      <w:r>
        <w:rPr>
          <w:color w:val="000000"/>
          <w:spacing w:val="0"/>
          <w:w w:val="100"/>
          <w:position w:val="0"/>
          <w:shd w:val="clear" w:color="auto" w:fill="auto"/>
          <w:lang w:val="ru-RU" w:eastAsia="ru-RU" w:bidi="ru-RU"/>
        </w:rPr>
        <w:t>баллон и вентиль должны быть сертифицированы для использования в составе дыхательных аппаратов М8АА1ШК. АпСЮ и АпбоНх (АйХргезз Гпе-2) находящихся на вооружении ГКУ РХ «Противопожарная служба».</w:t>
      </w:r>
    </w:p>
    <w:p>
      <w:pPr>
        <w:pStyle w:val="Style16"/>
        <w:keepNext w:val="0"/>
        <w:keepLines w:val="0"/>
        <w:widowControl w:val="0"/>
        <w:shd w:val="clear" w:color="auto" w:fill="auto"/>
        <w:bidi w:val="0"/>
        <w:spacing w:before="0" w:after="0"/>
        <w:ind w:left="0" w:right="0" w:firstLine="620"/>
        <w:jc w:val="both"/>
      </w:pPr>
      <w:r>
        <w:rPr>
          <w:color w:val="000000"/>
          <w:spacing w:val="0"/>
          <w:w w:val="100"/>
          <w:position w:val="0"/>
          <w:shd w:val="clear" w:color="auto" w:fill="auto"/>
          <w:lang w:val="ru-RU" w:eastAsia="ru-RU" w:bidi="ru-RU"/>
        </w:rPr>
        <w:t>В письменных пояснениях и на заседании комиссии представители Заказчика отметили, что под описание объекта закупки подходит две марки баллонов: БК-7- 300АУ-1 (производства ЗАО «НИИ «Маштест», Россия), Г65СХ (производства «РихГег Саз СуПпбегз», Китай).</w:t>
      </w:r>
    </w:p>
    <w:p>
      <w:pPr>
        <w:pStyle w:val="Style16"/>
        <w:keepNext w:val="0"/>
        <w:keepLines w:val="0"/>
        <w:widowControl w:val="0"/>
        <w:shd w:val="clear" w:color="auto" w:fill="auto"/>
        <w:bidi w:val="0"/>
        <w:spacing w:before="0" w:after="0"/>
        <w:ind w:left="0" w:right="0" w:firstLine="620"/>
        <w:jc w:val="both"/>
      </w:pPr>
      <w:r>
        <w:rPr>
          <w:color w:val="000000"/>
          <w:spacing w:val="0"/>
          <w:w w:val="100"/>
          <w:position w:val="0"/>
          <w:shd w:val="clear" w:color="auto" w:fill="auto"/>
          <w:lang w:val="ru-RU" w:eastAsia="ru-RU" w:bidi="ru-RU"/>
        </w:rPr>
        <w:t>Хакасским УФАС России в адрес потенциальных производителей/поставщиков баллонов направлены запросы, касающиеся характеристик товара согласно описанию объекта закупки.</w:t>
      </w:r>
    </w:p>
    <w:p>
      <w:pPr>
        <w:pStyle w:val="Style16"/>
        <w:keepNext w:val="0"/>
        <w:keepLines w:val="0"/>
        <w:widowControl w:val="0"/>
        <w:shd w:val="clear" w:color="auto" w:fill="auto"/>
        <w:bidi w:val="0"/>
        <w:spacing w:before="0" w:after="0"/>
        <w:ind w:left="0" w:right="0" w:firstLine="620"/>
        <w:jc w:val="both"/>
      </w:pPr>
      <w:r>
        <w:rPr>
          <w:color w:val="000000"/>
          <w:spacing w:val="0"/>
          <w:w w:val="100"/>
          <w:position w:val="0"/>
          <w:shd w:val="clear" w:color="auto" w:fill="auto"/>
          <w:lang w:val="ru-RU" w:eastAsia="ru-RU" w:bidi="ru-RU"/>
        </w:rPr>
        <w:t>Согласно ответу на запрос от ООО «ПО-ЛИГОН», под указанное техническое задание, подходит только баллон Г65СХ, производства “ШХРЕК. Саз Суйпбегз” ЗНатщЬа! Со. Иск Также, производитель сообщает, что если бы в техническом задании не было ограничений строгими верхними значениями внутреннего объёма баллона, то подошел бы еще и баллон БК-7-300АУ-1, производства ЗАО «ИНН «Маштест».</w:t>
      </w:r>
    </w:p>
    <w:p>
      <w:pPr>
        <w:pStyle w:val="Style16"/>
        <w:keepNext w:val="0"/>
        <w:keepLines w:val="0"/>
        <w:widowControl w:val="0"/>
        <w:shd w:val="clear" w:color="auto" w:fill="auto"/>
        <w:bidi w:val="0"/>
        <w:spacing w:before="0" w:after="0"/>
        <w:ind w:left="0" w:right="0" w:firstLine="620"/>
        <w:jc w:val="both"/>
      </w:pPr>
      <w:r>
        <w:rPr>
          <w:color w:val="000000"/>
          <w:spacing w:val="0"/>
          <w:w w:val="100"/>
          <w:position w:val="0"/>
          <w:shd w:val="clear" w:color="auto" w:fill="auto"/>
          <w:lang w:val="ru-RU" w:eastAsia="ru-RU" w:bidi="ru-RU"/>
        </w:rPr>
        <w:t xml:space="preserve">Вместе с тем, Заказчиком в материалы дела представлен запрос (исх. №22-01- 27 от 14.01.2025), который адресован ЗАО «НПП «Маштест» с просьбой </w:t>
      </w:r>
      <w:r>
        <w:rPr>
          <w:color w:val="000000"/>
          <w:spacing w:val="0"/>
          <w:w w:val="100"/>
          <w:position w:val="0"/>
          <w:shd w:val="clear" w:color="auto" w:fill="auto"/>
          <w:lang w:val="ru-RU" w:eastAsia="ru-RU" w:bidi="ru-RU"/>
        </w:rPr>
        <w:t>предоставить информацию о вместимости и внутреннем объеме баллона БК-7- 300 АУ-1. Ответ на данный запрос Заказчик представил в материалы дела в виде скриншотов о переписке по электронной почте с представителем ЗАО «НПП «Маштест», дополнительно представителем завода-производителя направлено руководство по эксплуатации МТ.137.000-01 РЭ и паспорт МТ. 137.000-01 ПС по баллону БК-7-300АУ-1.</w:t>
      </w:r>
    </w:p>
    <w:p>
      <w:pPr>
        <w:pStyle w:val="Style16"/>
        <w:keepNext w:val="0"/>
        <w:keepLines w:val="0"/>
        <w:widowControl w:val="0"/>
        <w:shd w:val="clear" w:color="auto" w:fill="auto"/>
        <w:bidi w:val="0"/>
        <w:spacing w:before="0" w:after="0"/>
        <w:ind w:left="0" w:right="0" w:firstLine="620"/>
        <w:jc w:val="both"/>
      </w:pPr>
      <w:r>
        <w:rPr>
          <w:color w:val="000000"/>
          <w:spacing w:val="0"/>
          <w:w w:val="100"/>
          <w:position w:val="0"/>
          <w:shd w:val="clear" w:color="auto" w:fill="auto"/>
          <w:lang w:val="ru-RU" w:eastAsia="ru-RU" w:bidi="ru-RU"/>
        </w:rPr>
        <w:t>Таким образом, из переписки Заказчика и представителя ЗАО «НПП «Маштест», следует, что внутренний объем баллона БК-7-300АУ-1 может варьироваться от 6,8 л по 7.1л.</w:t>
      </w:r>
    </w:p>
    <w:p>
      <w:pPr>
        <w:pStyle w:val="Style16"/>
        <w:keepNext w:val="0"/>
        <w:keepLines w:val="0"/>
        <w:widowControl w:val="0"/>
        <w:shd w:val="clear" w:color="auto" w:fill="auto"/>
        <w:bidi w:val="0"/>
        <w:spacing w:before="0" w:after="0"/>
        <w:ind w:left="0" w:right="0" w:firstLine="620"/>
        <w:jc w:val="both"/>
      </w:pPr>
      <w:r>
        <w:rPr>
          <w:color w:val="000000"/>
          <w:spacing w:val="0"/>
          <w:w w:val="100"/>
          <w:position w:val="0"/>
          <w:shd w:val="clear" w:color="auto" w:fill="auto"/>
          <w:lang w:val="ru-RU" w:eastAsia="ru-RU" w:bidi="ru-RU"/>
        </w:rPr>
        <w:t>В свою очередь, Комиссией направлен запрос в ЗАО «НПП «Маштест» (исх. № ОПТУ!7/25 от 24.01.2025), ответ на который поступил 24.01.2025 вх. № 768-ЭП/25, в котором указано, что в обозначении баллона БК-7-300АУ-1 цифра «7» означает номинальную (округленную до целых величин) вместимость баллона. Вместимость баллона обозначается с погрешностью в 7'</w:t>
      </w:r>
      <w:r>
        <w:rPr>
          <w:color w:val="000000"/>
          <w:spacing w:val="0"/>
          <w:w w:val="100"/>
          <w:position w:val="0"/>
          <w:shd w:val="clear" w:color="auto" w:fill="auto"/>
          <w:vertAlign w:val="superscript"/>
          <w:lang w:val="ru-RU" w:eastAsia="ru-RU" w:bidi="ru-RU"/>
        </w:rPr>
        <w:t>02</w:t>
      </w:r>
      <w:r>
        <w:rPr>
          <w:color w:val="000000"/>
          <w:spacing w:val="0"/>
          <w:w w:val="100"/>
          <w:position w:val="0"/>
          <w:shd w:val="clear" w:color="auto" w:fill="auto"/>
          <w:lang w:val="ru-RU" w:eastAsia="ru-RU" w:bidi="ru-RU"/>
        </w:rPr>
        <w:t xml:space="preserve"> по причине технологических особенностей изготовления баллонов.</w:t>
      </w:r>
    </w:p>
    <w:p>
      <w:pPr>
        <w:pStyle w:val="Style16"/>
        <w:keepNext w:val="0"/>
        <w:keepLines w:val="0"/>
        <w:widowControl w:val="0"/>
        <w:shd w:val="clear" w:color="auto" w:fill="auto"/>
        <w:bidi w:val="0"/>
        <w:spacing w:before="0" w:after="0"/>
        <w:ind w:left="0" w:right="0" w:firstLine="620"/>
        <w:jc w:val="both"/>
      </w:pPr>
      <w:r>
        <w:rPr>
          <w:color w:val="000000"/>
          <w:spacing w:val="0"/>
          <w:w w:val="100"/>
          <w:position w:val="0"/>
          <w:shd w:val="clear" w:color="auto" w:fill="auto"/>
          <w:lang w:val="ru-RU" w:eastAsia="ru-RU" w:bidi="ru-RU"/>
        </w:rPr>
        <w:t>При этом согласно руководству по эксплуатации МТ.137.000-01 РЭ, баллон БК-7- 300АУ-1 имеет вместимость 7 литров. Аналогичная информация содержится и в разделе «Основные сведения» паспорта МТ.137.000-01 ПС, согласно которых баллон металлокомпозитный облегченный БК-7-300АУ-1 имеет вместимость 7 литров.</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Представитель Заказчика на заседании Комиссии пояснил, что значение характеристики «Внутренний объем» указан с технической опечаткой. Вместо значения «&gt; 6.8 и &lt; 7», Заказчику следовало указать «&gt; 6.8 и &lt; 7».</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Заслушав мнения сторон и на основании имеющихся документов и сведений, Комиссия Хакасского УФАС России приходит к выводу о том, что в отсутствие специфики использования закупаемого товара (доказательств обратного в материалы дела не представлено), Заказчиком установлены такие требования к его характеристикам, совокупности которых отвечает только товар единственного производителя.</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Заказчиком не соблюдены положения пункта 1 части 1 и части 3 статьи 33, а также пункта 1 части 2 статьи 42 Закона о контрактной системе, что содержат признаки состава административного правонарушения, ответственность за совершение которого предусмотрена частью 4.1 статьи 7.30 КоАП РФ (с 01.03.2025 года — частью 6 статьи 7.30</w:t>
      </w:r>
      <w:r>
        <w:rPr>
          <w:color w:val="000000"/>
          <w:spacing w:val="0"/>
          <w:w w:val="100"/>
          <w:position w:val="0"/>
          <w:shd w:val="clear" w:color="auto" w:fill="auto"/>
          <w:vertAlign w:val="superscript"/>
          <w:lang w:val="ru-RU" w:eastAsia="ru-RU" w:bidi="ru-RU"/>
        </w:rPr>
        <w:t>1</w:t>
      </w:r>
      <w:r>
        <w:rPr>
          <w:color w:val="000000"/>
          <w:spacing w:val="0"/>
          <w:w w:val="100"/>
          <w:position w:val="0"/>
          <w:shd w:val="clear" w:color="auto" w:fill="auto"/>
          <w:lang w:val="ru-RU" w:eastAsia="ru-RU" w:bidi="ru-RU"/>
        </w:rPr>
        <w:t xml:space="preserve"> КоАП РФ).</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Согласно пункту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субъектов контроля нарушений законодательства Российской</w:t>
        <w:br w:type="page"/>
      </w:r>
      <w:r>
        <w:rPr>
          <w:color w:val="000000"/>
          <w:spacing w:val="0"/>
          <w:w w:val="100"/>
          <w:position w:val="0"/>
          <w:shd w:val="clear" w:color="auto" w:fill="auto"/>
          <w:lang w:val="ru-RU" w:eastAsia="ru-RU" w:bidi="ru-RU"/>
        </w:rPr>
        <w:t>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6"/>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Комиссией антимонопольного органа, с учётом существенных нарушений, допущенных Заказчиком при описании объекта закупки, принято решение выдать субъектам контроля обязательное для исполнения предписание об устранении нарушений.</w:t>
      </w:r>
    </w:p>
    <w:p>
      <w:pPr>
        <w:pStyle w:val="Style16"/>
        <w:keepNext w:val="0"/>
        <w:keepLines w:val="0"/>
        <w:widowControl w:val="0"/>
        <w:shd w:val="clear" w:color="auto" w:fill="auto"/>
        <w:bidi w:val="0"/>
        <w:spacing w:before="0" w:after="360"/>
        <w:ind w:left="0" w:right="0" w:firstLine="580"/>
        <w:jc w:val="both"/>
      </w:pPr>
      <w:r>
        <w:rPr>
          <w:color w:val="000000"/>
          <w:spacing w:val="0"/>
          <w:w w:val="100"/>
          <w:position w:val="0"/>
          <w:shd w:val="clear" w:color="auto" w:fill="auto"/>
          <w:lang w:val="ru-RU" w:eastAsia="ru-RU" w:bidi="ru-RU"/>
        </w:rPr>
        <w:t>На основании вышеизложенного и руководствуясь положениями Закона о контрактной системе, Комиссия,</w:t>
      </w:r>
    </w:p>
    <w:p>
      <w:pPr>
        <w:pStyle w:val="Style23"/>
        <w:keepNext/>
        <w:keepLines/>
        <w:widowControl w:val="0"/>
        <w:shd w:val="clear" w:color="auto" w:fill="auto"/>
        <w:bidi w:val="0"/>
        <w:spacing w:before="0" w:line="298" w:lineRule="auto"/>
        <w:ind w:left="0" w:right="0" w:firstLine="0"/>
        <w:jc w:val="center"/>
      </w:pPr>
      <w:bookmarkStart w:id="8" w:name="bookmark8"/>
      <w:r>
        <w:rPr>
          <w:color w:val="000000"/>
          <w:spacing w:val="0"/>
          <w:w w:val="100"/>
          <w:position w:val="0"/>
          <w:shd w:val="clear" w:color="auto" w:fill="auto"/>
          <w:lang w:val="ru-RU" w:eastAsia="ru-RU" w:bidi="ru-RU"/>
        </w:rPr>
        <w:t>РЕШИЛА:</w:t>
      </w:r>
      <w:bookmarkEnd w:id="8"/>
    </w:p>
    <w:p>
      <w:pPr>
        <w:pStyle w:val="Style16"/>
        <w:keepNext w:val="0"/>
        <w:keepLines w:val="0"/>
        <w:widowControl w:val="0"/>
        <w:numPr>
          <w:ilvl w:val="0"/>
          <w:numId w:val="7"/>
        </w:numPr>
        <w:shd w:val="clear" w:color="auto" w:fill="auto"/>
        <w:tabs>
          <w:tab w:pos="898" w:val="left"/>
        </w:tabs>
        <w:bidi w:val="0"/>
        <w:spacing w:before="0" w:after="0"/>
        <w:ind w:left="0" w:right="0" w:firstLine="580"/>
        <w:jc w:val="both"/>
      </w:pPr>
      <w:r>
        <w:rPr>
          <w:color w:val="000000"/>
          <w:spacing w:val="0"/>
          <w:w w:val="100"/>
          <w:position w:val="0"/>
          <w:shd w:val="clear" w:color="auto" w:fill="auto"/>
          <w:lang w:val="ru-RU" w:eastAsia="ru-RU" w:bidi="ru-RU"/>
        </w:rPr>
        <w:t>Признать жалобу ООО «ВЕГА» на действия комиссии по осуществлению закупок необоснованной.</w:t>
      </w:r>
    </w:p>
    <w:p>
      <w:pPr>
        <w:pStyle w:val="Style16"/>
        <w:keepNext w:val="0"/>
        <w:keepLines w:val="0"/>
        <w:widowControl w:val="0"/>
        <w:numPr>
          <w:ilvl w:val="0"/>
          <w:numId w:val="7"/>
        </w:numPr>
        <w:shd w:val="clear" w:color="auto" w:fill="auto"/>
        <w:tabs>
          <w:tab w:pos="898" w:val="left"/>
        </w:tabs>
        <w:bidi w:val="0"/>
        <w:spacing w:before="0" w:after="0"/>
        <w:ind w:left="0" w:right="0" w:firstLine="580"/>
        <w:jc w:val="both"/>
      </w:pPr>
      <w:r>
        <w:rPr>
          <w:color w:val="000000"/>
          <w:spacing w:val="0"/>
          <w:w w:val="100"/>
          <w:position w:val="0"/>
          <w:shd w:val="clear" w:color="auto" w:fill="auto"/>
          <w:lang w:val="ru-RU" w:eastAsia="ru-RU" w:bidi="ru-RU"/>
        </w:rPr>
        <w:t>Признать Заказчика нарушившим пункт 1 части 1 и часть 3 статьи 33, пункт 1 части 2 статьи 42 Закона о контрактной системе.</w:t>
      </w:r>
    </w:p>
    <w:p>
      <w:pPr>
        <w:pStyle w:val="Style16"/>
        <w:keepNext w:val="0"/>
        <w:keepLines w:val="0"/>
        <w:widowControl w:val="0"/>
        <w:numPr>
          <w:ilvl w:val="0"/>
          <w:numId w:val="7"/>
        </w:numPr>
        <w:shd w:val="clear" w:color="auto" w:fill="auto"/>
        <w:tabs>
          <w:tab w:pos="898" w:val="left"/>
        </w:tabs>
        <w:bidi w:val="0"/>
        <w:spacing w:before="0" w:after="0"/>
        <w:ind w:left="0" w:right="0" w:firstLine="580"/>
        <w:jc w:val="both"/>
      </w:pPr>
      <w:r>
        <w:rPr>
          <w:color w:val="000000"/>
          <w:spacing w:val="0"/>
          <w:w w:val="100"/>
          <w:position w:val="0"/>
          <w:shd w:val="clear" w:color="auto" w:fill="auto"/>
          <w:lang w:val="ru-RU" w:eastAsia="ru-RU" w:bidi="ru-RU"/>
        </w:rPr>
        <w:t>Заказчику, Уполномоченному органу и его комиссии, а также оператору электронной площадки выдать предписание об устранении выявленных нарушений.</w:t>
      </w:r>
    </w:p>
    <w:p>
      <w:pPr>
        <w:pStyle w:val="Style16"/>
        <w:keepNext w:val="0"/>
        <w:keepLines w:val="0"/>
        <w:widowControl w:val="0"/>
        <w:numPr>
          <w:ilvl w:val="0"/>
          <w:numId w:val="7"/>
        </w:numPr>
        <w:shd w:val="clear" w:color="auto" w:fill="auto"/>
        <w:tabs>
          <w:tab w:pos="898" w:val="left"/>
        </w:tabs>
        <w:bidi w:val="0"/>
        <w:spacing w:before="0" w:after="0"/>
        <w:ind w:left="0" w:right="0" w:firstLine="580"/>
        <w:jc w:val="both"/>
      </w:pPr>
      <w:r>
        <w:rPr>
          <w:color w:val="000000"/>
          <w:spacing w:val="0"/>
          <w:w w:val="100"/>
          <w:position w:val="0"/>
          <w:shd w:val="clear" w:color="auto" w:fill="auto"/>
          <w:lang w:val="ru-RU" w:eastAsia="ru-RU" w:bidi="ru-RU"/>
        </w:rPr>
        <w:t>Передать материалы жалобы должностному лицу Управления Федеральной антимонопольной службы по Республике Хакасия для рассмотрения вопроса о привлечении к административной ответственности.</w:t>
      </w:r>
    </w:p>
    <w:p>
      <w:pPr>
        <w:pStyle w:val="Style8"/>
        <w:keepNext w:val="0"/>
        <w:keepLines w:val="0"/>
        <w:widowControl w:val="0"/>
        <w:shd w:val="clear" w:color="auto" w:fill="auto"/>
        <w:bidi w:val="0"/>
        <w:spacing w:before="0" w:after="0" w:line="276" w:lineRule="auto"/>
        <w:ind w:left="0" w:right="0" w:firstLine="580"/>
        <w:jc w:val="both"/>
      </w:pPr>
      <w:r>
        <w:rPr>
          <w:i/>
          <w:iCs/>
          <w:color w:val="000000"/>
          <w:spacing w:val="0"/>
          <w:w w:val="100"/>
          <w:position w:val="0"/>
          <w:shd w:val="clear" w:color="auto" w:fill="auto"/>
          <w:lang w:val="ru-RU" w:eastAsia="ru-RU" w:bidi="ru-RU"/>
        </w:rPr>
        <w:t>Настоящее решение может быть обжаловано в суде, арбитражном суде в течение трех месяцев в установленном законом порядке.</w:t>
      </w:r>
    </w:p>
    <w:p>
      <w:pPr>
        <w:widowControl w:val="0"/>
        <w:spacing w:line="1" w:lineRule="exact"/>
      </w:pPr>
      <w:r>
        <mc:AlternateContent>
          <mc:Choice Requires="wps">
            <w:drawing>
              <wp:anchor distT="142875" distB="0" distL="0" distR="0" simplePos="0" relativeHeight="125829382" behindDoc="0" locked="0" layoutInCell="1" allowOverlap="1">
                <wp:simplePos x="0" y="0"/>
                <wp:positionH relativeFrom="page">
                  <wp:posOffset>747395</wp:posOffset>
                </wp:positionH>
                <wp:positionV relativeFrom="paragraph">
                  <wp:posOffset>142875</wp:posOffset>
                </wp:positionV>
                <wp:extent cx="1837690" cy="210185"/>
                <wp:wrapTopAndBottom/>
                <wp:docPr id="11" name="Shape 11"/>
                <a:graphic xmlns:a="http://schemas.openxmlformats.org/drawingml/2006/main">
                  <a:graphicData uri="http://schemas.microsoft.com/office/word/2010/wordprocessingShape">
                    <wps:wsp>
                      <wps:cNvSpPr txBox="1"/>
                      <wps:spPr>
                        <a:xfrm>
                          <a:ext cx="1837690" cy="21018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58.850000000000001pt;margin-top:11.25pt;width:144.70000000000002pt;height:16.550000000000001pt;z-index:-125829371;mso-wrap-distance-left:0;mso-wrap-distance-top:11.25pt;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mc:AlternateContent>
          <mc:Choice Requires="wps">
            <w:drawing>
              <wp:anchor distT="63500" distB="30480" distL="0" distR="0" simplePos="0" relativeHeight="125829384" behindDoc="0" locked="0" layoutInCell="1" allowOverlap="1">
                <wp:simplePos x="0" y="0"/>
                <wp:positionH relativeFrom="page">
                  <wp:posOffset>3466465</wp:posOffset>
                </wp:positionH>
                <wp:positionV relativeFrom="paragraph">
                  <wp:posOffset>63500</wp:posOffset>
                </wp:positionV>
                <wp:extent cx="1722120" cy="259080"/>
                <wp:wrapTopAndBottom/>
                <wp:docPr id="13" name="Shape 1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72.94999999999999pt;margin-top:5.pt;width:135.59999999999999pt;height:20.400000000000002pt;z-index:-125829369;mso-wrap-distance-left:0;mso-wrap-distance-top:5.pt;mso-wrap-distance-right:0;mso-wrap-distance-bottom:2.3999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p>
    <w:p>
      <w:pPr>
        <w:widowControl w:val="0"/>
        <w:spacing w:line="1" w:lineRule="exact"/>
        <w:sectPr>
          <w:footnotePr>
            <w:pos w:val="pageBottom"/>
            <w:numFmt w:val="decimal"/>
            <w:numRestart w:val="continuous"/>
          </w:footnotePr>
          <w:type w:val="continuous"/>
          <w:pgSz w:w="11900" w:h="16840"/>
          <w:pgMar w:top="1437" w:right="482" w:bottom="1186" w:left="1074" w:header="0" w:footer="3" w:gutter="0"/>
          <w:cols w:space="720"/>
          <w:noEndnote/>
          <w:rtlGutter w:val="0"/>
          <w:docGrid w:linePitch="360"/>
        </w:sectPr>
      </w:pPr>
      <w:r>
        <mc:AlternateContent>
          <mc:Choice Requires="wps">
            <w:drawing>
              <wp:anchor distT="21590" distB="353695" distL="0" distR="0" simplePos="0" relativeHeight="125829386" behindDoc="0" locked="0" layoutInCell="1" allowOverlap="1">
                <wp:simplePos x="0" y="0"/>
                <wp:positionH relativeFrom="page">
                  <wp:posOffset>3509010</wp:posOffset>
                </wp:positionH>
                <wp:positionV relativeFrom="paragraph">
                  <wp:posOffset>21590</wp:posOffset>
                </wp:positionV>
                <wp:extent cx="1286510" cy="100330"/>
                <wp:wrapTopAndBottom/>
                <wp:docPr id="15" name="Shape 15"/>
                <a:graphic xmlns:a="http://schemas.openxmlformats.org/drawingml/2006/main">
                  <a:graphicData uri="http://schemas.microsoft.com/office/word/2010/wordprocessingShape">
                    <wps:wsp>
                      <wps:cNvSpPr txBox="1"/>
                      <wps:spPr>
                        <a:xfrm>
                          <a:ext cx="1286510" cy="100330"/>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wps:txbx>
                      <wps:bodyPr wrap="none" lIns="0" tIns="0" rIns="0" bIns="0">
                        <a:noAutoFit/>
                      </wps:bodyPr>
                    </wps:wsp>
                  </a:graphicData>
                </a:graphic>
              </wp:anchor>
            </w:drawing>
          </mc:Choice>
          <mc:Fallback>
            <w:pict>
              <v:shape id="_x0000_s1041" type="#_x0000_t202" style="position:absolute;margin-left:276.30000000000001pt;margin-top:1.7pt;width:101.3pt;height:7.9000000000000004pt;z-index:-125829367;mso-wrap-distance-left:0;mso-wrap-distance-top:1.7pt;mso-wrap-distance-right:0;mso-wrap-distance-bottom:27.850000000000001pt;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v:textbox>
                <w10:wrap type="topAndBottom" anchorx="page"/>
              </v:shape>
            </w:pict>
          </mc:Fallback>
        </mc:AlternateContent>
      </w:r>
      <w:r>
        <mc:AlternateContent>
          <mc:Choice Requires="wps">
            <w:drawing>
              <wp:anchor distT="176530" distB="635" distL="0" distR="0" simplePos="0" relativeHeight="125829388" behindDoc="0" locked="0" layoutInCell="1" allowOverlap="1">
                <wp:simplePos x="0" y="0"/>
                <wp:positionH relativeFrom="page">
                  <wp:posOffset>3060700</wp:posOffset>
                </wp:positionH>
                <wp:positionV relativeFrom="paragraph">
                  <wp:posOffset>176530</wp:posOffset>
                </wp:positionV>
                <wp:extent cx="2099945" cy="298450"/>
                <wp:wrapTopAndBottom/>
                <wp:docPr id="17" name="Shape 17"/>
                <a:graphic xmlns:a="http://schemas.openxmlformats.org/drawingml/2006/main">
                  <a:graphicData uri="http://schemas.microsoft.com/office/word/2010/wordprocessingShape">
                    <wps:wsp>
                      <wps:cNvSpPr txBox="1"/>
                      <wps:spPr>
                        <a:xfrm>
                          <a:ext cx="2099945" cy="2984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выдан: </w:t>
                            </w:r>
                            <w:r>
                              <w:rPr>
                                <w:rFonts w:ascii="Arial" w:eastAsia="Arial" w:hAnsi="Arial" w:cs="Arial"/>
                                <w:color w:val="000000"/>
                                <w:spacing w:val="0"/>
                                <w:w w:val="100"/>
                                <w:position w:val="0"/>
                                <w:sz w:val="11"/>
                                <w:szCs w:val="11"/>
                                <w:shd w:val="clear" w:color="auto" w:fill="auto"/>
                                <w:lang w:val="ru-RU" w:eastAsia="ru-RU" w:bidi="ru-RU"/>
                              </w:rPr>
                              <w:t>Широкова Ольга Владимировна</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Сертификат № 492А8328Е79Е9864ВР7СЕ095О6564ЕВС</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Действителен с 20.12.2023 по 14.03.2025</w:t>
                            </w:r>
                          </w:p>
                        </w:txbxContent>
                      </wps:txbx>
                      <wps:bodyPr lIns="0" tIns="0" rIns="0" bIns="0">
                        <a:noAutoFit/>
                      </wps:bodyPr>
                    </wps:wsp>
                  </a:graphicData>
                </a:graphic>
              </wp:anchor>
            </w:drawing>
          </mc:Choice>
          <mc:Fallback>
            <w:pict>
              <v:shape id="_x0000_s1043" type="#_x0000_t202" style="position:absolute;margin-left:241.pt;margin-top:13.9pt;width:165.34999999999999pt;height:23.5pt;z-index:-125829365;mso-wrap-distance-left:0;mso-wrap-distance-top:13.9pt;mso-wrap-distance-right:0;mso-wrap-distance-bottom:5.0000000000000003e-00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выдан: </w:t>
                      </w:r>
                      <w:r>
                        <w:rPr>
                          <w:rFonts w:ascii="Arial" w:eastAsia="Arial" w:hAnsi="Arial" w:cs="Arial"/>
                          <w:color w:val="000000"/>
                          <w:spacing w:val="0"/>
                          <w:w w:val="100"/>
                          <w:position w:val="0"/>
                          <w:sz w:val="11"/>
                          <w:szCs w:val="11"/>
                          <w:shd w:val="clear" w:color="auto" w:fill="auto"/>
                          <w:lang w:val="ru-RU" w:eastAsia="ru-RU" w:bidi="ru-RU"/>
                        </w:rPr>
                        <w:t>Широкова Ольга Владимировна</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Сертификат № 492А8328Е79Е9864ВР7СЕ095О6564ЕВС</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Действителен с 20.12.2023 по 14.03.2025</w:t>
                      </w:r>
                    </w:p>
                  </w:txbxContent>
                </v:textbox>
                <w10:wrap type="topAndBottom" anchorx="page"/>
              </v:shape>
            </w:pict>
          </mc:Fallback>
        </mc:AlternateContent>
      </w:r>
      <w:r>
        <mc:AlternateContent>
          <mc:Choice Requires="wps">
            <w:drawing>
              <wp:anchor distT="0" distB="265430" distL="0" distR="0" simplePos="0" relativeHeight="125829390" behindDoc="0" locked="0" layoutInCell="1" allowOverlap="1">
                <wp:simplePos x="0" y="0"/>
                <wp:positionH relativeFrom="page">
                  <wp:posOffset>6014085</wp:posOffset>
                </wp:positionH>
                <wp:positionV relativeFrom="paragraph">
                  <wp:posOffset>0</wp:posOffset>
                </wp:positionV>
                <wp:extent cx="1197610" cy="210185"/>
                <wp:wrapTopAndBottom/>
                <wp:docPr id="19" name="Shape 19"/>
                <a:graphic xmlns:a="http://schemas.openxmlformats.org/drawingml/2006/main">
                  <a:graphicData uri="http://schemas.microsoft.com/office/word/2010/wordprocessingShape">
                    <wps:wsp>
                      <wps:cNvSpPr txBox="1"/>
                      <wps:spPr>
                        <a:xfrm>
                          <a:ext cx="1197610" cy="21018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О.В. Широкова</w:t>
                            </w:r>
                          </w:p>
                        </w:txbxContent>
                      </wps:txbx>
                      <wps:bodyPr wrap="none" lIns="0" tIns="0" rIns="0" bIns="0">
                        <a:noAutoFit/>
                      </wps:bodyPr>
                    </wps:wsp>
                  </a:graphicData>
                </a:graphic>
              </wp:anchor>
            </w:drawing>
          </mc:Choice>
          <mc:Fallback>
            <w:pict>
              <v:shape id="_x0000_s1045" type="#_x0000_t202" style="position:absolute;margin-left:473.55000000000001pt;margin-top:0;width:94.299999999999997pt;height:16.550000000000001pt;z-index:-125829363;mso-wrap-distance-left:0;mso-wrap-distance-right:0;mso-wrap-distance-bottom:20.900000000000002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О.В. Широкова</w:t>
                      </w:r>
                    </w:p>
                  </w:txbxContent>
                </v:textbox>
                <w10:wrap type="topAndBottom" anchorx="page"/>
              </v:shape>
            </w:pict>
          </mc:Fallback>
        </mc:AlternateContent>
      </w:r>
    </w:p>
    <w:p>
      <w:pPr>
        <w:pStyle w:val="Style16"/>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1710" w:right="531" w:bottom="1240" w:left="1087" w:header="0" w:footer="3" w:gutter="0"/>
          <w:cols w:space="720"/>
          <w:noEndnote/>
          <w:rtlGutter w:val="0"/>
          <w:docGrid w:linePitch="360"/>
        </w:sectPr>
      </w:pPr>
      <w:r>
        <w:rPr>
          <w:color w:val="000000"/>
          <w:spacing w:val="0"/>
          <w:w w:val="100"/>
          <w:position w:val="0"/>
          <w:shd w:val="clear" w:color="auto" w:fill="auto"/>
          <w:lang w:val="ru-RU" w:eastAsia="ru-RU" w:bidi="ru-RU"/>
        </w:rPr>
        <w:t>Члены комиссии:</w:t>
      </w:r>
    </w:p>
    <w:p>
      <w:pPr>
        <w:pStyle w:val="Style2"/>
        <w:keepNext w:val="0"/>
        <w:keepLines w:val="0"/>
        <w:framePr w:w="2712" w:h="403" w:wrap="none" w:vAnchor="text" w:hAnchor="page" w:x="5460" w:y="83"/>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16"/>
        <w:keepNext w:val="0"/>
        <w:keepLines w:val="0"/>
        <w:framePr w:w="1781" w:h="322" w:wrap="none" w:vAnchor="text" w:hAnchor="page" w:x="9569" w:y="2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Е.В. Антонова</w:t>
      </w:r>
    </w:p>
    <w:p>
      <w:pPr>
        <w:widowControl w:val="0"/>
        <w:spacing w:after="484" w:line="1" w:lineRule="exact"/>
      </w:pPr>
    </w:p>
    <w:p>
      <w:pPr>
        <w:widowControl w:val="0"/>
        <w:spacing w:line="1" w:lineRule="exact"/>
        <w:sectPr>
          <w:footnotePr>
            <w:pos w:val="pageBottom"/>
            <w:numFmt w:val="decimal"/>
            <w:numRestart w:val="continuous"/>
          </w:footnotePr>
          <w:type w:val="continuous"/>
          <w:pgSz w:w="11900" w:h="16840"/>
          <w:pgMar w:top="1459" w:right="531" w:bottom="1166" w:left="1087" w:header="0" w:footer="3" w:gutter="0"/>
          <w:cols w:space="720"/>
          <w:noEndnote/>
          <w:rtlGutter w:val="0"/>
          <w:docGrid w:linePitch="360"/>
        </w:sectPr>
      </w:pPr>
    </w:p>
    <w:p>
      <w:pPr>
        <w:pStyle w:val="Style2"/>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left="1680" w:right="0" w:firstLine="0"/>
        <w:jc w:val="left"/>
        <w:rPr>
          <w:sz w:val="12"/>
          <w:szCs w:val="12"/>
        </w:rPr>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40" w:lineRule="auto"/>
        <w:ind w:left="0" w:right="0" w:firstLine="96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выдан: Антонова Евгения </w:t>
      </w:r>
      <w:r>
        <w:rPr>
          <w:rFonts w:ascii="Arial" w:eastAsia="Arial" w:hAnsi="Arial" w:cs="Arial"/>
          <w:color w:val="000000"/>
          <w:spacing w:val="0"/>
          <w:w w:val="100"/>
          <w:position w:val="0"/>
          <w:sz w:val="11"/>
          <w:szCs w:val="11"/>
          <w:shd w:val="clear" w:color="auto" w:fill="auto"/>
          <w:lang w:val="ru-RU" w:eastAsia="ru-RU" w:bidi="ru-RU"/>
        </w:rPr>
        <w:t>Васильевна</w:t>
      </w:r>
    </w:p>
    <w:p>
      <w:pPr>
        <w:pStyle w:val="Style2"/>
        <w:keepNext w:val="0"/>
        <w:keepLines w:val="0"/>
        <w:widowControl w:val="0"/>
        <w:shd w:val="clear" w:color="auto" w:fill="auto"/>
        <w:bidi w:val="0"/>
        <w:spacing w:before="0" w:after="0" w:line="240" w:lineRule="auto"/>
        <w:ind w:left="0" w:right="0" w:firstLine="960"/>
        <w:jc w:val="left"/>
        <w:rPr>
          <w:sz w:val="12"/>
          <w:szCs w:val="12"/>
        </w:rPr>
      </w:pPr>
      <w:r>
        <mc:AlternateContent>
          <mc:Choice Requires="wps">
            <w:drawing>
              <wp:anchor distT="0" distB="0" distL="114300" distR="114300" simplePos="0" relativeHeight="125829392" behindDoc="0" locked="0" layoutInCell="1" allowOverlap="1">
                <wp:simplePos x="0" y="0"/>
                <wp:positionH relativeFrom="page">
                  <wp:posOffset>6075680</wp:posOffset>
                </wp:positionH>
                <wp:positionV relativeFrom="paragraph">
                  <wp:posOffset>76200</wp:posOffset>
                </wp:positionV>
                <wp:extent cx="1134110" cy="210185"/>
                <wp:wrapSquare wrapText="left"/>
                <wp:docPr id="21" name="Shape 21"/>
                <a:graphic xmlns:a="http://schemas.openxmlformats.org/drawingml/2006/main">
                  <a:graphicData uri="http://schemas.microsoft.com/office/word/2010/wordprocessingShape">
                    <wps:wsp>
                      <wps:cNvSpPr txBox="1"/>
                      <wps:spPr>
                        <a:xfrm>
                          <a:ext cx="1134110" cy="21018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И.А. Ортээлек</w:t>
                            </w:r>
                          </w:p>
                        </w:txbxContent>
                      </wps:txbx>
                      <wps:bodyPr wrap="none" lIns="0" tIns="0" rIns="0" bIns="0">
                        <a:noAutoFit/>
                      </wps:bodyPr>
                    </wps:wsp>
                  </a:graphicData>
                </a:graphic>
              </wp:anchor>
            </w:drawing>
          </mc:Choice>
          <mc:Fallback>
            <w:pict>
              <v:shape id="_x0000_s1047" type="#_x0000_t202" style="position:absolute;margin-left:478.40000000000003pt;margin-top:6.pt;width:89.299999999999997pt;height:16.550000000000001pt;z-index:-125829361;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И.А. Ортээлек</w:t>
                      </w:r>
                    </w:p>
                  </w:txbxContent>
                </v:textbox>
                <w10:wrap type="square" side="left" anchorx="page"/>
              </v:shape>
            </w:pict>
          </mc:Fallback>
        </mc:AlternateContent>
      </w:r>
      <w:r>
        <w:rPr>
          <w:rFonts w:ascii="Arial" w:eastAsia="Arial" w:hAnsi="Arial" w:cs="Arial"/>
          <w:color w:val="000000"/>
          <w:spacing w:val="0"/>
          <w:w w:val="100"/>
          <w:position w:val="0"/>
          <w:sz w:val="12"/>
          <w:szCs w:val="12"/>
          <w:shd w:val="clear" w:color="auto" w:fill="auto"/>
          <w:lang w:val="ru-RU" w:eastAsia="ru-RU" w:bidi="ru-RU"/>
        </w:rPr>
        <w:t>Сертификат № 791Е16ВВ5ЕЕ0143077О785ССВ1РС3932</w:t>
      </w:r>
    </w:p>
    <w:p>
      <w:pPr>
        <w:pStyle w:val="Style2"/>
        <w:keepNext w:val="0"/>
        <w:keepLines w:val="0"/>
        <w:widowControl w:val="0"/>
        <w:shd w:val="clear" w:color="auto" w:fill="auto"/>
        <w:bidi w:val="0"/>
        <w:spacing w:before="0" w:after="150" w:line="240" w:lineRule="auto"/>
        <w:ind w:left="0" w:right="0" w:firstLine="960"/>
        <w:jc w:val="left"/>
        <w:rPr>
          <w:sz w:val="12"/>
          <w:szCs w:val="12"/>
        </w:rPr>
      </w:pPr>
      <w:r>
        <w:drawing>
          <wp:anchor distT="139700" distB="0" distL="114300" distR="1918970" simplePos="0" relativeHeight="125829394" behindDoc="0" locked="0" layoutInCell="1" allowOverlap="1">
            <wp:simplePos x="0" y="0"/>
            <wp:positionH relativeFrom="page">
              <wp:posOffset>3070225</wp:posOffset>
            </wp:positionH>
            <wp:positionV relativeFrom="paragraph">
              <wp:posOffset>342900</wp:posOffset>
            </wp:positionV>
            <wp:extent cx="316865" cy="365760"/>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9"/>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3466465</wp:posOffset>
                </wp:positionH>
                <wp:positionV relativeFrom="paragraph">
                  <wp:posOffset>415925</wp:posOffset>
                </wp:positionV>
                <wp:extent cx="1722120" cy="255905"/>
                <wp:wrapNone/>
                <wp:docPr id="25" name="Shape 2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39"/>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72.94999999999999pt;margin-top:32.75pt;width:135.59999999999999pt;height:20.150000000000002pt;z-index:251657729;mso-wrap-distance-left:0;mso-wrap-distance-right:0;mso-position-horizontal-relative:page" filled="f" stroked="f">
                <v:textbox inset="0,0,0,0">
                  <w:txbxContent>
                    <w:p>
                      <w:pPr>
                        <w:pStyle w:val="Style39"/>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Fonts w:ascii="Arial" w:eastAsia="Arial" w:hAnsi="Arial" w:cs="Arial"/>
          <w:color w:val="000000"/>
          <w:spacing w:val="0"/>
          <w:w w:val="100"/>
          <w:position w:val="0"/>
          <w:sz w:val="12"/>
          <w:szCs w:val="12"/>
          <w:shd w:val="clear" w:color="auto" w:fill="auto"/>
          <w:lang w:val="ru-RU" w:eastAsia="ru-RU" w:bidi="ru-RU"/>
        </w:rPr>
        <w:t>Действителен с 26.06.2024 по 19.09.2025</w:t>
      </w:r>
    </w:p>
    <w:p>
      <w:pPr>
        <w:pStyle w:val="Style2"/>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1680" w:right="0" w:firstLine="0"/>
        <w:jc w:val="left"/>
        <w:rPr>
          <w:sz w:val="12"/>
          <w:szCs w:val="12"/>
        </w:rPr>
      </w:pPr>
      <w:r>
        <mc:AlternateContent>
          <mc:Choice Requires="wps">
            <w:drawing>
              <wp:anchor distT="0" distB="0" distL="0" distR="0" simplePos="0" relativeHeight="125829395" behindDoc="0" locked="0" layoutInCell="1" allowOverlap="1">
                <wp:simplePos x="0" y="0"/>
                <wp:positionH relativeFrom="page">
                  <wp:posOffset>713740</wp:posOffset>
                </wp:positionH>
                <wp:positionV relativeFrom="paragraph">
                  <wp:posOffset>-101600</wp:posOffset>
                </wp:positionV>
                <wp:extent cx="1734185" cy="338455"/>
                <wp:wrapSquare wrapText="bothSides"/>
                <wp:docPr id="27" name="Shape 27"/>
                <a:graphic xmlns:a="http://schemas.openxmlformats.org/drawingml/2006/main">
                  <a:graphicData uri="http://schemas.microsoft.com/office/word/2010/wordprocessingShape">
                    <wps:wsp>
                      <wps:cNvSpPr txBox="1"/>
                      <wps:spPr>
                        <a:xfrm>
                          <a:ext cx="1734185" cy="33845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Исп.Ортээлек И.А.</w:t>
                            </w:r>
                          </w:p>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тел.8(3902)22-66-21, 019-111</w:t>
                            </w:r>
                          </w:p>
                        </w:txbxContent>
                      </wps:txbx>
                      <wps:bodyPr lIns="0" tIns="0" rIns="0" bIns="0">
                        <a:noAutoFit/>
                      </wps:bodyPr>
                    </wps:wsp>
                  </a:graphicData>
                </a:graphic>
              </wp:anchor>
            </w:drawing>
          </mc:Choice>
          <mc:Fallback>
            <w:pict>
              <v:shape id="_x0000_s1053" type="#_x0000_t202" style="position:absolute;margin-left:56.200000000000003pt;margin-top:-8.pt;width:136.55000000000001pt;height:26.650000000000002pt;z-index:-125829358;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Исп.Ортээлек И.А.</w:t>
                      </w:r>
                    </w:p>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тел.8(3902)22-66-21, 019-111</w:t>
                      </w:r>
                    </w:p>
                  </w:txbxContent>
                </v:textbox>
                <w10:wrap type="square" anchorx="page"/>
              </v:shape>
            </w:pict>
          </mc:Fallback>
        </mc:AlternateContent>
      </w: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40" w:lineRule="auto"/>
        <w:ind w:left="0" w:right="0" w:firstLine="96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выдан: </w:t>
      </w:r>
      <w:r>
        <w:rPr>
          <w:rFonts w:ascii="Arial" w:eastAsia="Arial" w:hAnsi="Arial" w:cs="Arial"/>
          <w:color w:val="000000"/>
          <w:spacing w:val="0"/>
          <w:w w:val="100"/>
          <w:position w:val="0"/>
          <w:sz w:val="11"/>
          <w:szCs w:val="11"/>
          <w:shd w:val="clear" w:color="auto" w:fill="auto"/>
          <w:lang w:val="ru-RU" w:eastAsia="ru-RU" w:bidi="ru-RU"/>
        </w:rPr>
        <w:t>Ортээлек Игорь Андреевич</w:t>
      </w:r>
    </w:p>
    <w:p>
      <w:pPr>
        <w:pStyle w:val="Style2"/>
        <w:keepNext w:val="0"/>
        <w:keepLines w:val="0"/>
        <w:widowControl w:val="0"/>
        <w:shd w:val="clear" w:color="auto" w:fill="auto"/>
        <w:bidi w:val="0"/>
        <w:spacing w:before="0" w:after="0" w:line="240" w:lineRule="auto"/>
        <w:ind w:left="0" w:right="0" w:firstLine="96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Сертификат № 00ВАВ55Е7О720Ю005747ВВ79Е97СЕОЗОЕ</w:t>
      </w:r>
    </w:p>
    <w:p>
      <w:pPr>
        <w:pStyle w:val="Style2"/>
        <w:keepNext w:val="0"/>
        <w:keepLines w:val="0"/>
        <w:widowControl w:val="0"/>
        <w:shd w:val="clear" w:color="auto" w:fill="auto"/>
        <w:bidi w:val="0"/>
        <w:spacing w:before="0" w:after="0" w:line="240" w:lineRule="auto"/>
        <w:ind w:left="0" w:right="0" w:firstLine="96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Действителен с 10.09.2024 по 04.12.2025</w:t>
      </w:r>
    </w:p>
    <w:sectPr>
      <w:footnotePr>
        <w:pos w:val="pageBottom"/>
        <w:numFmt w:val="decimal"/>
        <w:numRestart w:val="continuous"/>
      </w:footnotePr>
      <w:type w:val="continuous"/>
      <w:pgSz w:w="11900" w:h="16840"/>
      <w:pgMar w:top="1710" w:right="531" w:bottom="1240" w:left="383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724535</wp:posOffset>
              </wp:positionH>
              <wp:positionV relativeFrom="page">
                <wp:posOffset>10003155</wp:posOffset>
              </wp:positionV>
              <wp:extent cx="572770" cy="100330"/>
              <wp:wrapNone/>
              <wp:docPr id="3" name="Shape 3"/>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2025-919</w:t>
                          </w:r>
                        </w:p>
                      </w:txbxContent>
                    </wps:txbx>
                    <wps:bodyPr wrap="none" lIns="0" tIns="0" rIns="0" bIns="0">
                      <a:spAutoFit/>
                    </wps:bodyPr>
                  </wps:wsp>
                </a:graphicData>
              </a:graphic>
            </wp:anchor>
          </w:drawing>
        </mc:Choice>
        <mc:Fallback>
          <w:pict>
            <v:shape id="_x0000_s1029" type="#_x0000_t202" style="position:absolute;margin-left:57.050000000000004pt;margin-top:787.64999999999998pt;width:45.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2025-919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726440</wp:posOffset>
              </wp:positionH>
              <wp:positionV relativeFrom="page">
                <wp:posOffset>9857740</wp:posOffset>
              </wp:positionV>
              <wp:extent cx="570230" cy="100330"/>
              <wp:wrapNone/>
              <wp:docPr id="5" name="Shape 5"/>
              <a:graphic xmlns:a="http://schemas.openxmlformats.org/drawingml/2006/main">
                <a:graphicData uri="http://schemas.microsoft.com/office/word/2010/wordprocessingShape">
                  <wps:wsp>
                    <wps:cNvSpPr txBox="1"/>
                    <wps:spPr>
                      <a:xfrm>
                        <a:ext cx="57023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2025-919</w:t>
                          </w:r>
                        </w:p>
                      </w:txbxContent>
                    </wps:txbx>
                    <wps:bodyPr wrap="none" lIns="0" tIns="0" rIns="0" bIns="0">
                      <a:spAutoFit/>
                    </wps:bodyPr>
                  </wps:wsp>
                </a:graphicData>
              </a:graphic>
            </wp:anchor>
          </w:drawing>
        </mc:Choice>
        <mc:Fallback>
          <w:pict>
            <v:shape id="_x0000_s1031" type="#_x0000_t202" style="position:absolute;margin-left:57.200000000000003pt;margin-top:776.20000000000005pt;width:44.8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2025-919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3905250</wp:posOffset>
              </wp:positionH>
              <wp:positionV relativeFrom="page">
                <wp:posOffset>749300</wp:posOffset>
              </wp:positionV>
              <wp:extent cx="128270" cy="100330"/>
              <wp:wrapNone/>
              <wp:docPr id="1" name="Shape 1"/>
              <a:graphic xmlns:a="http://schemas.openxmlformats.org/drawingml/2006/main">
                <a:graphicData uri="http://schemas.microsoft.com/office/word/2010/wordprocessingShape">
                  <wps:wsp>
                    <wps:cNvSpPr txBox="1"/>
                    <wps:spPr>
                      <a:xfrm>
                        <a:ext cx="1282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07.5pt;margin-top:59.pt;width:1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3)_"/>
    <w:basedOn w:val="DefaultParagraphFont"/>
    <w:link w:val="Style8"/>
    <w:rPr>
      <w:rFonts w:ascii="Times New Roman" w:eastAsia="Times New Roman" w:hAnsi="Times New Roman" w:cs="Times New Roman"/>
      <w:b w:val="0"/>
      <w:bCs w:val="0"/>
      <w:i w:val="0"/>
      <w:iCs w:val="0"/>
      <w:smallCaps w:val="0"/>
      <w:strike w:val="0"/>
      <w:sz w:val="22"/>
      <w:szCs w:val="22"/>
      <w:u w:val="none"/>
    </w:rPr>
  </w:style>
  <w:style w:type="character" w:customStyle="1" w:styleId="CharStyle14">
    <w:name w:val="Основной текст (2)_"/>
    <w:basedOn w:val="DefaultParagraphFont"/>
    <w:link w:val="Style13"/>
    <w:rPr>
      <w:rFonts w:ascii="Times New Roman" w:eastAsia="Times New Roman" w:hAnsi="Times New Roman" w:cs="Times New Roman"/>
      <w:b w:val="0"/>
      <w:bCs w:val="0"/>
      <w:i w:val="0"/>
      <w:iCs w:val="0"/>
      <w:smallCaps w:val="0"/>
      <w:strike w:val="0"/>
      <w:sz w:val="18"/>
      <w:szCs w:val="18"/>
      <w:u w:val="non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sz w:val="26"/>
      <w:szCs w:val="26"/>
      <w:u w:val="none"/>
    </w:rPr>
  </w:style>
  <w:style w:type="character" w:customStyle="1" w:styleId="CharStyle24">
    <w:name w:val="Заголовок №2_"/>
    <w:basedOn w:val="DefaultParagraphFont"/>
    <w:link w:val="Style23"/>
    <w:rPr>
      <w:rFonts w:ascii="Times New Roman" w:eastAsia="Times New Roman" w:hAnsi="Times New Roman" w:cs="Times New Roman"/>
      <w:b/>
      <w:bCs/>
      <w:i w:val="0"/>
      <w:iCs w:val="0"/>
      <w:smallCaps w:val="0"/>
      <w:strike w:val="0"/>
      <w:sz w:val="26"/>
      <w:szCs w:val="26"/>
      <w:u w:val="none"/>
    </w:rPr>
  </w:style>
  <w:style w:type="character" w:customStyle="1" w:styleId="CharStyle26">
    <w:name w:val="Подпись к таблице_"/>
    <w:basedOn w:val="DefaultParagraphFont"/>
    <w:link w:val="Style25"/>
    <w:rPr>
      <w:rFonts w:ascii="Times New Roman" w:eastAsia="Times New Roman" w:hAnsi="Times New Roman" w:cs="Times New Roman"/>
      <w:b w:val="0"/>
      <w:bCs w:val="0"/>
      <w:i w:val="0"/>
      <w:iCs w:val="0"/>
      <w:smallCaps w:val="0"/>
      <w:strike w:val="0"/>
      <w:sz w:val="26"/>
      <w:szCs w:val="26"/>
      <w:u w:val="none"/>
    </w:rPr>
  </w:style>
  <w:style w:type="character" w:customStyle="1" w:styleId="CharStyle30">
    <w:name w:val="Заголовок №1_"/>
    <w:basedOn w:val="DefaultParagraphFont"/>
    <w:link w:val="Style29"/>
    <w:rPr>
      <w:rFonts w:ascii="Arial" w:eastAsia="Arial" w:hAnsi="Arial" w:cs="Arial"/>
      <w:b w:val="0"/>
      <w:bCs w:val="0"/>
      <w:i w:val="0"/>
      <w:iCs w:val="0"/>
      <w:smallCaps w:val="0"/>
      <w:strike w:val="0"/>
      <w:sz w:val="38"/>
      <w:szCs w:val="38"/>
      <w:u w:val="none"/>
    </w:rPr>
  </w:style>
  <w:style w:type="character" w:customStyle="1" w:styleId="CharStyle40">
    <w:name w:val="Подпись к картинке_"/>
    <w:basedOn w:val="DefaultParagraphFont"/>
    <w:link w:val="Style39"/>
    <w:rPr>
      <w:rFonts w:ascii="Times New Roman" w:eastAsia="Times New Roman" w:hAnsi="Times New Roman" w:cs="Times New Roman"/>
      <w:b/>
      <w:bCs/>
      <w:i w:val="0"/>
      <w:iCs w:val="0"/>
      <w:smallCaps w:val="0"/>
      <w:strike w:val="0"/>
      <w:sz w:val="11"/>
      <w:szCs w:val="11"/>
      <w:u w:val="none"/>
    </w:rPr>
  </w:style>
  <w:style w:type="paragraph" w:customStyle="1" w:styleId="Style2">
    <w:name w:val="Другое"/>
    <w:basedOn w:val="Normal"/>
    <w:link w:val="CharStyle3"/>
    <w:pPr>
      <w:widowControl w:val="0"/>
      <w:shd w:val="clear" w:color="auto" w:fill="auto"/>
      <w:spacing w:line="298"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3)"/>
    <w:basedOn w:val="Normal"/>
    <w:link w:val="CharStyle9"/>
    <w:pPr>
      <w:widowControl w:val="0"/>
      <w:shd w:val="clear" w:color="auto" w:fill="auto"/>
      <w:spacing w:line="264" w:lineRule="auto"/>
      <w:ind w:left="470"/>
    </w:pPr>
    <w:rPr>
      <w:rFonts w:ascii="Times New Roman" w:eastAsia="Times New Roman" w:hAnsi="Times New Roman" w:cs="Times New Roman"/>
      <w:b w:val="0"/>
      <w:bCs w:val="0"/>
      <w:i w:val="0"/>
      <w:iCs w:val="0"/>
      <w:smallCaps w:val="0"/>
      <w:strike w:val="0"/>
      <w:sz w:val="22"/>
      <w:szCs w:val="22"/>
      <w:u w:val="none"/>
    </w:rPr>
  </w:style>
  <w:style w:type="paragraph" w:customStyle="1" w:styleId="Style13">
    <w:name w:val="Основной текст (2)"/>
    <w:basedOn w:val="Normal"/>
    <w:link w:val="CharStyle14"/>
    <w:pPr>
      <w:widowControl w:val="0"/>
      <w:shd w:val="clear" w:color="auto" w:fill="auto"/>
      <w:spacing w:line="307" w:lineRule="auto"/>
      <w:ind w:firstLine="720"/>
    </w:pPr>
    <w:rPr>
      <w:rFonts w:ascii="Times New Roman" w:eastAsia="Times New Roman" w:hAnsi="Times New Roman" w:cs="Times New Roman"/>
      <w:b w:val="0"/>
      <w:bCs w:val="0"/>
      <w:i w:val="0"/>
      <w:iCs w:val="0"/>
      <w:smallCaps w:val="0"/>
      <w:strike w:val="0"/>
      <w:sz w:val="18"/>
      <w:szCs w:val="18"/>
      <w:u w:val="none"/>
    </w:rPr>
  </w:style>
  <w:style w:type="paragraph" w:customStyle="1" w:styleId="Style16">
    <w:name w:val="Основной текст"/>
    <w:basedOn w:val="Normal"/>
    <w:link w:val="CharStyle17"/>
    <w:pPr>
      <w:widowControl w:val="0"/>
      <w:shd w:val="clear" w:color="auto" w:fill="auto"/>
      <w:spacing w:line="298"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3">
    <w:name w:val="Заголовок №2"/>
    <w:basedOn w:val="Normal"/>
    <w:link w:val="CharStyle24"/>
    <w:pPr>
      <w:widowControl w:val="0"/>
      <w:shd w:val="clear" w:color="auto" w:fill="auto"/>
      <w:spacing w:after="360" w:line="269" w:lineRule="auto"/>
      <w:jc w:val="center"/>
      <w:outlineLvl w:val="1"/>
    </w:pPr>
    <w:rPr>
      <w:rFonts w:ascii="Times New Roman" w:eastAsia="Times New Roman" w:hAnsi="Times New Roman" w:cs="Times New Roman"/>
      <w:b/>
      <w:bCs/>
      <w:i w:val="0"/>
      <w:iCs w:val="0"/>
      <w:smallCaps w:val="0"/>
      <w:strike w:val="0"/>
      <w:sz w:val="26"/>
      <w:szCs w:val="26"/>
      <w:u w:val="none"/>
    </w:rPr>
  </w:style>
  <w:style w:type="paragraph" w:customStyle="1" w:styleId="Style25">
    <w:name w:val="Подпись к таблице"/>
    <w:basedOn w:val="Normal"/>
    <w:link w:val="CharStyle26"/>
    <w:pPr>
      <w:widowControl w:val="0"/>
      <w:shd w:val="clear" w:color="auto" w:fill="auto"/>
      <w:jc w:val="center"/>
    </w:pPr>
    <w:rPr>
      <w:rFonts w:ascii="Times New Roman" w:eastAsia="Times New Roman" w:hAnsi="Times New Roman" w:cs="Times New Roman"/>
      <w:b w:val="0"/>
      <w:bCs w:val="0"/>
      <w:i w:val="0"/>
      <w:iCs w:val="0"/>
      <w:smallCaps w:val="0"/>
      <w:strike w:val="0"/>
      <w:sz w:val="26"/>
      <w:szCs w:val="26"/>
      <w:u w:val="none"/>
    </w:rPr>
  </w:style>
  <w:style w:type="paragraph" w:customStyle="1" w:styleId="Style29">
    <w:name w:val="Заголовок №1"/>
    <w:basedOn w:val="Normal"/>
    <w:link w:val="CharStyle30"/>
    <w:pPr>
      <w:widowControl w:val="0"/>
      <w:shd w:val="clear" w:color="auto" w:fill="auto"/>
      <w:spacing w:after="200"/>
      <w:outlineLvl w:val="0"/>
    </w:pPr>
    <w:rPr>
      <w:rFonts w:ascii="Arial" w:eastAsia="Arial" w:hAnsi="Arial" w:cs="Arial"/>
      <w:b w:val="0"/>
      <w:bCs w:val="0"/>
      <w:i w:val="0"/>
      <w:iCs w:val="0"/>
      <w:smallCaps w:val="0"/>
      <w:strike w:val="0"/>
      <w:sz w:val="38"/>
      <w:szCs w:val="38"/>
      <w:u w:val="none"/>
    </w:rPr>
  </w:style>
  <w:style w:type="paragraph" w:customStyle="1" w:styleId="Style39">
    <w:name w:val="Подпись к картинке"/>
    <w:basedOn w:val="Normal"/>
    <w:link w:val="CharStyle40"/>
    <w:pPr>
      <w:widowControl w:val="0"/>
      <w:shd w:val="clear" w:color="auto" w:fill="auto"/>
      <w:spacing w:line="233" w:lineRule="auto"/>
    </w:pPr>
    <w:rPr>
      <w:rFonts w:ascii="Times New Roman" w:eastAsia="Times New Roman" w:hAnsi="Times New Roman" w:cs="Times New Roman"/>
      <w:b/>
      <w:bCs/>
      <w:i w:val="0"/>
      <w:iCs w:val="0"/>
      <w:smallCaps w:val="0"/>
      <w:strike w:val="0"/>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image" Target="media/image1.jpeg"/><Relationship Id="rId10" Type="http://schemas.openxmlformats.org/officeDocument/2006/relationships/image" Target="media/image1.jpeg" TargetMode="External"/></Relationships>
</file>

<file path=docProps/core.xml><?xml version="1.0" encoding="utf-8"?>
<cp:coreProperties xmlns:cp="http://schemas.openxmlformats.org/package/2006/metadata/core-properties" xmlns:dc="http://purl.org/dc/elements/1.1/">
  <dc:title>Федеральный закон от 05.04.2013 N 44-ФЗ(ред. от 26.12.2024)"О контрактной системе в сфере закупок товаров, работ, услуг для обеспечения государственных и муниципальных нужд"</dc:title>
  <dc:subject/>
  <dc:creator/>
  <cp:keywords/>
</cp:coreProperties>
</file>