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i w:val="0"/>
          <w:iCs w:val="0"/>
          <w:color w:val="4D608C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Хакасия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Вяткина, 3, г. Абакан, 655017</w:t>
        <w:br/>
        <w:t>тел. (3902) 22-27-59, факс (3902) 22-62-55</w:t>
        <w:br/>
        <w:t>е-тай: ю19(йТая.ао\.ги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4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29.01.2025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ОШ/920/25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  <w:rPr>
          <w:sz w:val="19"/>
          <w:szCs w:val="19"/>
        </w:rPr>
      </w:pPr>
      <w:r>
        <w:rPr>
          <w:i w:val="0"/>
          <w:iCs w:val="0"/>
          <w:color w:val="4D608C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по жалобе № 019/06/106- 59/2025 (ООО "ТД РУСИНТЭК")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Заявителю -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64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ООО «Торговый дом «РУСИНТЭК» </w:t>
      </w:r>
      <w:r>
        <w:rPr>
          <w:color w:val="05017C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Мп18т1ес@таИ.ги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Субъектам контроля: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-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66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ГКУ РХ "Противопожарная служба" рр§@г-19.ги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0" w:line="259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Уполномоченному органу - Государственному комитету по регулированию контрактной системы в сфере закупок Республики Хакасия и его комиссии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19"/>
          <w:szCs w:val="19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§2@Г-19.П1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24"/>
          <w:szCs w:val="24"/>
        </w:rPr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896" w:bottom="1183" w:left="1140" w:header="0" w:footer="3" w:gutter="0"/>
          <w:pgNumType w:start="1"/>
          <w:cols w:num="2" w:space="720" w:equalWidth="0">
            <w:col w:w="4152" w:space="1109"/>
            <w:col w:w="4603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- ООО "РТС-тендер" ко@П8-1еш1ег.ги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4" w:after="8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06" w:right="0" w:bottom="86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жалобе № 019/06/106-59/2025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923" w:val="left"/>
        </w:tabs>
        <w:bidi w:val="0"/>
        <w:spacing w:before="0" w:after="36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«24» января 2025 года</w:t>
        <w:tab/>
        <w:t>г. Абакан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Хакасия по контролю закупок в составе (далее - Комиссия):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5640" w:val="left"/>
        </w:tabs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заседание комиссии Широковой</w:t>
        <w:tab/>
        <w:t>О.В., заместителя руководителя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39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управления;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3931" w:val="left"/>
        </w:tabs>
        <w:bidi w:val="0"/>
        <w:spacing w:before="0" w:after="0" w:line="29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Ортээлека И.А., ведущего специалиста-эксперта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3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отдела контроля закупок и антимонопольного контроля органов власти; Антоновой Е.В., ведущего специалиста-эксперта отдела антимонопольного законодательства и рекламы;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40" w:line="290" w:lineRule="auto"/>
        <w:ind w:left="0" w:right="0" w:firstLine="6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государственного заказчика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- Государственного казённого учреждения Республики Хакасия «Противопожарная служба» (далее — ГКУ РХ «Противопожарная служба», Заказчик):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1111111111111111111111II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72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уполномоченного органа 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Государственного комитета по регулированию контрактной системы в сфере закупок Республики Хакасия (далее - Госкомитет, уполномоченный орган):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46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 —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Общества с ограниченной ответственностью «Торговый дом «РУСИНТЭК» Гдалее - ООО «ТЛ «РУСИНТЭК». Заявитель. Общество):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посредством видео-конференц-связи жалобу ООО «ТД «РУСИНТЭК» на действия субъектов контроля при проведении электронного аукциона на поставку запасных металлокомпозитных баллонов с вентилем для дыхательных аппаратов, находящихся на вооружении ГКУ РХ "Противопожарная служба" (извещение № 0380200000124009606) (далее - Аукцион), и в результате осуществления внеплановой проверки в соответствии с пунктом 1 части 15 статьи 99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Хакасское УФАС России посредством ЕИС 18.01.2025 (зарегистрирована 20.01.2025 вх. № 474/25) поступила жалоба Заявителя на действия субъектов контроля при проведении Аукциона.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06" w:right="481" w:bottom="861" w:left="104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мнению Заявителя, его права и законные интересы нарушены действиями Заказчика, установившего в извещении такую совокупность требований, исполнение которой может быть обеспечена только продукцией единственного производителя — “ЬнхГег Саз СуНпбегз (ЗНапДтаО Со. ГМ” (Китай). Кроме того, по мнению Заявителя, указанная продукция не произведена на территории РФ или стран ЕАЭС, и не соответствует требованиям постановления Правительства № 617, установленного в извещении Заказчиком и поэтому не может быть предложена к поставке. Таким 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образом, Заявитель считает, что Заказчик установив требования к товару допустил нарушение Закона о контрактной системе, а также считает неправомерным решение Уполномоченного органа об определении победителя данной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Заявителя на рассмотрении жалобы озвучил указанные доводы, указанные в жалобе, просил признать жалобу 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 рассмотрения жалобы в материалы дела от Заказчика поступили запрашиваемые пояснения и документы. На заседании комиссии представитель Заказчика возражал по доводам жалобы, просил признать её необоснованной, при этом указал, что под описание объекта закупки подходит как минимум два производителя: БК-7-300АУ-1 (производства ЗАО «НПП «Маштест», Россия), Ь65СХ (производства «ЬнхГег Стаз Суйпбегз», Китай).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Уполномоченного органа, направив в материалы дела письменные пояснения, запрашиваемые документы, указал, что извещение о закупке и решение, принятое комиссией по осуществлению закупок, соответствует требованиям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Председателем комиссии был объявлен перерыв в заседании до 14:30 24.01.2025 с целью исследования дополнительных обстоятельств дела.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об осуществлении закупки, электронными документами к нему, протоколами, составленными при определении поставщика (подрядчика, исполнителя):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об осуществлении закупки (далее — Извещение) размещено в ЕИС 24.12.2024;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91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- 4 284 000,00 рублей;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91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способ определения поставщика (подрядчика, исполнителя) — Аукцион;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91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10.01.2025 10:00 (МСК+4);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1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проведения процедуры подачи предложений о цене контракта либо о сумме цен единиц товара, работы, услуги 10.01.2025;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1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14.01.2025;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1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14.01.2025 №ИЭА1 на участие в Аукционе было подано три заявки, из которых две были отклонены по следующим основаниям: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1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заявка с идентификационным номером № 118012921 отклонена на основании п.1 ч.12 ст.48 Закона о контрактной системе, поскольку в нарушение пи. «а» и.2 ч.1 ст. 43 Закона о контрактной системе, п.1 ч.2 Требований к содержанию, составу заявки: заявка на участие в электронном аукционе содержит характеристики не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соответствующие показателям, установленным Извещением в части «Описание объекта закупки» по позиции (внутренний объем; кубический дециметр);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1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 с идентификационным номером № 117996605 отклонена на основании п.4 ч.12 ст.48 Закона о контрактной системе, п.4 ч.2 Требований к содержанию, составу заявки: заявка участника не соответствует условиям соблюдения ограничений допуска промышленных товаров, происходящих из иностранных государств для целей осуществления закупок для государственных и муниципальных нужд в соответствии с Постановлением Правительства РФ от 30.04.2020 №617.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подведения итогов определения поставщика (подрядчика, исполнителя) победителем аукциона признан участник закупки с идентификационным номером заявки № 118021353 и ценовым предложением 3 791 340,00 руб.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контракт не заключен.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отношении довода Заявителя об имеющихся со стороны Заказчика признаков нарушений пункта 1 части 1 статьи 33, части 2 статьи 33, пункта 1 части 2 статьи 42 Закона о контрактной системе, что в свою очередь приводит к ограничению количества участников закупки и нарушению прав и законных интересов Заявителя, Комиссия Хакасского УФАС России поясняет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пунктом 1 части 2 статьи 105 Закона о контрактной системе,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жалоба на положения извещения об осуществлении закупки,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документации о закупке (в случае, если настоящим Федеральным законом предусмотрена документация о закупке)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может быть подана до окончания срока подачи заявок на участие в закупке.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участник закупки вправе подать только одну жалобу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закупке). В случае внесения в соответствии с настоящим Федеральным законом изменений в извещение об осуществлении закупки, документацию о закупке участник закупки вправе подать только одну жалобу на положения таких извещения, документации после внесения в них таких изменений.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очередь, Заявитель указывает на нарушение Заказчиком положений Закона о контрактной системе, что выразилось во включении в Описание объекта закупки таких требований к товару, которые свидетельствуют о его конкретном производителе.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согласно Извещения об осуществлении закупки, срок окончания подачи заявок установлен до 10.01.2025 10:00 (МСК+4).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учитывая факт того, что жалоба была размещена в ЕИС 18.01.2025, Заявителем пропущен срок для обжалования положений Извещения об осуществлении закупки, в связи с чем, указанный довод не подлежит рассмотрению.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отношении довода Заявителя о неправомерном определении комиссией по осуществлению закупок победителя Аукциона, Комиссия Хакасского УФАС России приходит к следующим выводам.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подпунктом а) пункта 1 части 5 статьи 49 Закона о контрактной системе,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1-8 части 12 статьи 48 настоящего Федерального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12 статьи 48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подпунктом "а" пункта 1 (за исключением случая, предусмотренного пунктом 5 настоящей части), подпунктом "а" пункта 2 части 4, подпунктом "а" пункта 1 (за исключением случая, предусмотренного пунктом 5 настоящей части), пунктом 2 части 5 статьи 14 настоящего Федерального закона;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пунктом 5 части 1 статьи 43 настоящего Федерального закона, если такие информация и документы определены в соответствии с пунктом 2 части 2 статьи 14 настоящего Федерального закона (в случае установления в соответствии с подпунктом "а" пункта 1 части 2 статьи 14 настоящего Федерального закона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пунктом 4 статьи 2 Федерального закона от 4 июня 2018 года И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81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частью 6 статьи 45 настоящего Федерального закона;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антимонопольного органа проанализировала заявку участника закупки с идентификационным номером № 118021353 и установила, что она соответствует требованиям Закона о контрактной системе и Извещения об осуществлении закупки, в том числе заявка победителя аукциона содержит предложение о поставке баллона БК-7-300АУ-1 с внутренним объемом 6,8 л., что в свою очередь соответствует требованиям Извещения об осуществлении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по осуществлению закупок, которая в силу подпункта а) пункта 1 части 5 статьи 49 Закона о контрактной системе, рассматривает заявки на участие в электронном аукционе исключительно на соответствие требованиям, установленным в Извещении, правомерно признала заявку такого участника соответствующей установленным требованиям, а участника закупки - победителем Аукциона. Доказательств обратного в материалы дела не представлено.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5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Внеплановая проверка размещения закупки проведена в рамках рассмотрения жалобы ООО «ВЕГА» (Решение по жалобе № 019/06/106-58/2025 от 24.01.2025 и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жалобе № 019/06/106-58/2025 от 24.01.2025 размещены в ЕИС), в связи с чем, в рамках рассмотрения настоящей жалобы такая проверка не проводится.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и руководствуясь положениями Закона о контрактной системе, Комиссия,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«Торговый дом «РУСИНТЭК» на действия комиссии по осуществлению закупок необоснованной.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5" w:line="305" w:lineRule="auto"/>
        <w:ind w:left="0" w:right="0" w:firstLine="580"/>
        <w:jc w:val="both"/>
      </w:pPr>
      <w:r>
        <w:drawing>
          <wp:anchor distT="101600" distB="0" distL="114300" distR="1918970" simplePos="0" relativeHeight="125829378" behindDoc="0" locked="0" layoutInCell="1" allowOverlap="1">
            <wp:simplePos x="0" y="0"/>
            <wp:positionH relativeFrom="page">
              <wp:posOffset>3034030</wp:posOffset>
            </wp:positionH>
            <wp:positionV relativeFrom="paragraph">
              <wp:posOffset>558800</wp:posOffset>
            </wp:positionV>
            <wp:extent cx="316865" cy="365760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3430270</wp:posOffset>
                </wp:positionH>
                <wp:positionV relativeFrom="paragraph">
                  <wp:posOffset>628650</wp:posOffset>
                </wp:positionV>
                <wp:extent cx="1722120" cy="255905"/>
                <wp:wrapNone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270.10000000000002pt;margin-top:49.5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787400</wp:posOffset>
                </wp:positionV>
                <wp:extent cx="1837690" cy="210185"/>
                <wp:wrapSquare wrapText="righ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769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149999999999999pt;margin-top:62.pt;width:144.70000000000002pt;height:16.55000000000000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6005830</wp:posOffset>
                </wp:positionH>
                <wp:positionV relativeFrom="paragraph">
                  <wp:posOffset>63500</wp:posOffset>
                </wp:positionV>
                <wp:extent cx="1191895" cy="210185"/>
                <wp:wrapSquare wrapText="left"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189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О.В. Широкова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72.90000000000003pt;margin-top:5.pt;width:93.850000000000009pt;height:16.55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О.В. Широкова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Кому выдан: Широкова Ольга Владимировна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 № 492А8328Е79Е9864ВЕ7СЕ095О6564ЕВС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20.12.2023 по 14.03.2025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700" distB="322580" distL="0" distR="0" simplePos="0" relativeHeight="125829383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12700</wp:posOffset>
                </wp:positionV>
                <wp:extent cx="1334770" cy="20447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477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58.149999999999999pt;margin-top:1.pt;width:105.10000000000001pt;height:16.100000000000001pt;z-index:-125829370;mso-wrap-distance-left:0;mso-wrap-distance-top:1.pt;mso-wrap-distance-right:0;mso-wrap-distance-bottom:25.400000000000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3510" distB="0" distL="0" distR="1783080" simplePos="0" relativeHeight="125829385" behindDoc="0" locked="0" layoutInCell="1" allowOverlap="1">
            <wp:simplePos x="0" y="0"/>
            <wp:positionH relativeFrom="page">
              <wp:posOffset>3018155</wp:posOffset>
            </wp:positionH>
            <wp:positionV relativeFrom="paragraph">
              <wp:posOffset>143510</wp:posOffset>
            </wp:positionV>
            <wp:extent cx="347345" cy="396240"/>
            <wp:wrapTopAndBottom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3429635</wp:posOffset>
                </wp:positionH>
                <wp:positionV relativeFrom="paragraph">
                  <wp:posOffset>231775</wp:posOffset>
                </wp:positionV>
                <wp:extent cx="1718945" cy="2559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894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0.05000000000001pt;margin-top:18.25pt;width:135.3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87020" distB="48260" distL="0" distR="0" simplePos="0" relativeHeight="125829386" behindDoc="0" locked="0" layoutInCell="1" allowOverlap="1">
                <wp:simplePos x="0" y="0"/>
                <wp:positionH relativeFrom="page">
                  <wp:posOffset>6066155</wp:posOffset>
                </wp:positionH>
                <wp:positionV relativeFrom="paragraph">
                  <wp:posOffset>287020</wp:posOffset>
                </wp:positionV>
                <wp:extent cx="1130935" cy="20447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093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Е.В. Антонова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77.65000000000003pt;margin-top:22.600000000000001pt;width:89.049999999999997pt;height:16.100000000000001pt;z-index:-125829367;mso-wrap-distance-left:0;mso-wrap-distance-top:22.600000000000001pt;mso-wrap-distance-right:0;mso-wrap-distance-bottom:3.8000000000000003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Е.В. Антонова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533400" distL="0" distR="0" simplePos="0" relativeHeight="125829388" behindDoc="0" locked="0" layoutInCell="1" allowOverlap="1">
                <wp:simplePos x="0" y="0"/>
                <wp:positionH relativeFrom="page">
                  <wp:posOffset>3472815</wp:posOffset>
                </wp:positionH>
                <wp:positionV relativeFrom="paragraph">
                  <wp:posOffset>0</wp:posOffset>
                </wp:positionV>
                <wp:extent cx="1283335" cy="9779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3.44999999999999pt;margin-top:0;width:101.05pt;height:7.7000000000000002pt;z-index:-125829365;mso-wrap-distance-left:0;mso-wrap-distance-right:0;mso-wrap-distance-bottom:42.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182880" distL="0" distR="0" simplePos="0" relativeHeight="125829390" behindDoc="0" locked="0" layoutInCell="1" allowOverlap="1">
                <wp:simplePos x="0" y="0"/>
                <wp:positionH relativeFrom="page">
                  <wp:posOffset>3024505</wp:posOffset>
                </wp:positionH>
                <wp:positionV relativeFrom="paragraph">
                  <wp:posOffset>152400</wp:posOffset>
                </wp:positionV>
                <wp:extent cx="2099945" cy="29591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99945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Кому выдан: Антонова Евгения Васильевна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Сертификат № 791Е16ВВ5ЕЕ0143077О785ССВ1ЕС3932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Действителен с 26.06.2024 по 19.09.2025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38.15000000000001pt;margin-top:12.pt;width:165.34999999999999pt;height:23.300000000000001pt;z-index:-125829363;mso-wrap-distance-left:0;mso-wrap-distance-top:12.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Кому выдан: Антонова Евгения Васильевна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Сертификат № 791Е16ВВ5ЕЕ0143077О785ССВ1ЕС3932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Действителен с 26.06.2024 по 19.09.2025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0370" distB="635" distL="0" distR="0" simplePos="0" relativeHeight="125829392" behindDoc="0" locked="0" layoutInCell="1" allowOverlap="1">
                <wp:simplePos x="0" y="0"/>
                <wp:positionH relativeFrom="page">
                  <wp:posOffset>6066155</wp:posOffset>
                </wp:positionH>
                <wp:positionV relativeFrom="paragraph">
                  <wp:posOffset>420370</wp:posOffset>
                </wp:positionV>
                <wp:extent cx="1134110" cy="210185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И.А. Ортээлек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77.65000000000003pt;margin-top:33.100000000000001pt;width:89.299999999999997pt;height:16.550000000000001pt;z-index:-125829361;mso-wrap-distance-left:0;mso-wrap-distance-top:33.100000000000001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И.А. Ортээлек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63500" distB="0" distL="0" distR="1783080" simplePos="0" relativeHeight="125829394" behindDoc="0" locked="0" layoutInCell="1" allowOverlap="1">
            <wp:simplePos x="0" y="0"/>
            <wp:positionH relativeFrom="page">
              <wp:posOffset>3015615</wp:posOffset>
            </wp:positionH>
            <wp:positionV relativeFrom="paragraph">
              <wp:posOffset>63500</wp:posOffset>
            </wp:positionV>
            <wp:extent cx="353695" cy="396240"/>
            <wp:wrapTopAndBottom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3430270</wp:posOffset>
                </wp:positionH>
                <wp:positionV relativeFrom="paragraph">
                  <wp:posOffset>151765</wp:posOffset>
                </wp:positionV>
                <wp:extent cx="1718945" cy="2559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894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0.10000000000002pt;margin-top:11.950000000000001pt;width:135.3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Кому выдан: Ортээлек Игорь Андреевич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 № 00ВАО55Е7О720Ю005747ВВ79Е97СЕВЗОЕ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3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10.09.2024 по 04.12.2025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Исп.Ортээлек И. 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 8(3902)22-66-21, 019-111</w:t>
      </w:r>
    </w:p>
    <w:sectPr>
      <w:headerReference w:type="default" r:id="rId15"/>
      <w:footerReference w:type="default" r:id="rId16"/>
      <w:footnotePr>
        <w:pos w:val="pageBottom"/>
        <w:numFmt w:val="decimal"/>
        <w:numRestart w:val="continuous"/>
      </w:footnotePr>
      <w:type w:val="continuous"/>
      <w:pgSz w:w="11900" w:h="16840"/>
      <w:pgMar w:top="806" w:right="481" w:bottom="861" w:left="104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714375</wp:posOffset>
              </wp:positionH>
              <wp:positionV relativeFrom="page">
                <wp:posOffset>10347960</wp:posOffset>
              </wp:positionV>
              <wp:extent cx="5727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ru-RU" w:eastAsia="ru-RU" w:bidi="ru-RU"/>
                            </w:rPr>
                            <w:t>2025-972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25pt;margin-top:814.80000000000007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>2025-972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9857740</wp:posOffset>
              </wp:positionV>
              <wp:extent cx="5702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ru-RU" w:eastAsia="ru-RU" w:bidi="ru-RU"/>
                            </w:rPr>
                            <w:t>2025-972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776.20000000000005pt;width:44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>2025-972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9906000</wp:posOffset>
              </wp:positionV>
              <wp:extent cx="572770" cy="100330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ru-RU" w:eastAsia="ru-RU" w:bidi="ru-RU"/>
                            </w:rPr>
                            <w:t>2025-972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position:absolute;margin-left:56.5pt;margin-top:780.pt;width:45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>2025-972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652145</wp:posOffset>
              </wp:positionV>
              <wp:extent cx="54610" cy="100330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8" type="#_x0000_t202" style="position:absolute;margin-left:308.75pt;margin-top:51.350000000000001pt;width:4.2999999999999998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D608C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3">
    <w:name w:val="Подпись к картинке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30">
    <w:name w:val="Заголовок №1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2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D608C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3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spacing w:line="298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2">
    <w:name w:val="Подпись к картинке"/>
    <w:basedOn w:val="Normal"/>
    <w:link w:val="CharStyle23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18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9">
    <w:name w:val="Заголовок №1"/>
    <w:basedOn w:val="Normal"/>
    <w:link w:val="CharStyle30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header" Target="header1.xml"/><Relationship Id="rId16" Type="http://schemas.openxmlformats.org/officeDocument/2006/relationships/footer" Target="footer3.xml"/></Relationships>
</file>