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76199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76199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Мурманской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6"/>
          <w:szCs w:val="16"/>
        </w:rPr>
      </w:pPr>
      <w:r>
        <w:rPr>
          <w:color w:val="476199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ул. Академика Книповича, 9а, г. Мурманск, 183038</w:t>
        <w:br/>
        <w:t>тел. (8152) 68-50-43, факс (8152) 68-50-43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  <w:rPr>
          <w:sz w:val="16"/>
          <w:szCs w:val="16"/>
        </w:rPr>
      </w:pPr>
      <w:r>
        <w:rPr>
          <w:color w:val="476199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е-тай: 1о51@Гав.§оу.ги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8.01.2025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НК/322/25</w:t>
      </w:r>
      <w:bookmarkEnd w:id="0"/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Федеральной службы государственной регистрации кадастра и картографии по Мурманской области 51_ирг@го8гее§1г.ги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Индивидуальный предприниматель Арутюнян А.Р.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84" w:right="1188" w:bottom="972" w:left="1255" w:header="0" w:footer="3" w:gutter="0"/>
          <w:pgNumType w:start="1"/>
          <w:cols w:num="2" w:space="720" w:equalWidth="0">
            <w:col w:w="3941" w:space="926"/>
            <w:col w:w="4589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2акирИ-коп1го1@таП.ги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6" w:after="5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97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 051/06/106-25/2025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5780405</wp:posOffset>
                </wp:positionH>
                <wp:positionV relativeFrom="paragraph">
                  <wp:posOffset>12700</wp:posOffset>
                </wp:positionV>
                <wp:extent cx="1191895" cy="234950"/>
                <wp:wrapSquare wrapText="lef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189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город Мурманск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455.15000000000003pt;margin-top:1.pt;width:93.850000000000009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город Мурманск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 января 2025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(далее — Комиссия Мурманского УФАС России)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 Мурманского УФАС России: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Калитина Н.А. - заместитель руководителя Управления Федеральной антимонопольной службы по Мурманской области,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Прохорова М.Е. - начальник отдела контроля торгов Управления Федеральной антимонопольной службы по Мурманской области,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Конох А.А. - специалист - эксперт отдела контроля торгов Управления Федеральной антимонопольной службы по Мурманской области, при участии представителей: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Управления Федеральной службы государственной регистрации, кадастра и картографии по Мурманской области - Кувакина А.В., Забенко Е.П., Сочневой А.С. (на основании доверенности);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Без участия представителей заявителя - индивидуального предпринимателя Арутюняна Ары Руслановича,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индивидуального предпринимателя Арутюняна Ары Руслановича (далее - ИП Арутюнян А.Р., Заявитель) на действия Заказчика - Управления Федеральной службы государственной регистрации, кадастра и картографии по Мурманской области (далее - Заказчик) при проведении электронного аукциона на выполнение работ по текущему ремонту помещения здания, расположенного по адресу: Мурманская область, г. Мурманск, пр. Тарана, д. 24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824" w:bottom="972" w:left="1102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(извещение №</w:t>
      </w:r>
      <w:r>
        <w:fldChar w:fldCharType="begin"/>
      </w:r>
      <w:r>
        <w:rPr/>
        <w:instrText> HYPERLINK "https://zakupki.gov.ru/epz/order/notice/ea20/view/common-info.html?regNumber=0149100004625000004"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0149100004625000004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), в соответствии со статьёй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10.01.2025 в Единой информационной системе в сфере закупок - \у\у\у./акирк1.доу.ги (далее — ЕИС) размещено извещение о проведении электронного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 Управление Федеральной службы государственной регистрации, кадастра и картографии по Мурманской области (далее - Заказчик).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объекта закупки: выполнение работ по текущему ремонту помещения здания, расположенного по адресу: Мурманская область, г. Мурманск, пр. Тарана, д. 24 (извещение №</w:t>
      </w:r>
      <w:r>
        <w:fldChar w:fldCharType="begin"/>
      </w:r>
      <w:r>
        <w:rPr/>
        <w:instrText> HYPERLINK "https://zakupki.gov.ru/epz/order/notice/ea20/view/common-info.html?regNumber=0149100004625000004"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0149100004625000004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Наименование электронной площадки в информационно-телекоммуникационной сети «Интернет»: АО «Сбербанк-АСТ» </w:t>
      </w:r>
      <w:r>
        <w:fldChar w:fldCharType="begin"/>
      </w:r>
      <w:r>
        <w:rPr/>
        <w:instrText> HYPERLINK "http://www.sberbank-ast.ru/" </w:instrText>
      </w:r>
      <w:r>
        <w:fldChar w:fldCharType="separate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Шр:/Лу\у\у.8Ье1'Ьапк-а81.1'11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контракта: 1 135 000,00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жалобы, Заказчиком неправомерно не установлено дополнительное требование к участникам закупки, предусматривающее наличие у участника закупки опыта выполнения работ.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Заявителя рассмотрена дистанционно 23 января 2025 года в 10 часов 00 минут посредством сервиса веб-видеоконференцсвязи.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представленные документы, заслушав представителей Заказчика, Комиссия приходит к следующим выводам.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описанием объекта закупки, приложенного к извещению о проведении электронного аукциона, участнику закупки необходимо выполнить работы по текущему ремонту помещения здания, расположенного по адресу: Мурманская область, г. Мурманск, пр. Тарана, д. 24.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извещении установлен код ОКПД2: 41.20.40.900 Работы строительные по возведению нежилых зданий и сооружений прочие, не включенные в другие группировки.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дополнительные требования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в том числе к наличию: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3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7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7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частями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целях реализации требований Закона о контрактной системе дополнительные требования утверждены постановлением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Постановление № 2571).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позицией 15 Приложения к Постановлению № 2571 в случае осуществления закупки работ по текущему ремонту зданий, сооружений устанавливаются дополнительные требования на наличие у участника закупки следующего опыта выполнения работ: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опыт исполнения договора, предусматривающего выполнение работ по текущему ремонту зданий, сооружений;</w:t>
      </w:r>
      <w:bookmarkEnd w:id="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опыт исполнения договора, предусматривающего выполнение работ по строительству, реконструкции, капитальному ремонту объекта капитального строительства.</w:t>
      </w:r>
      <w:bookmarkEnd w:id="5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Цена выполненных работ по договору, предусмотренному </w:t>
      </w:r>
      <w:hyperlink w:anchor="bookmark4" w:tooltip="Current Document">
        <w:r>
          <w:rPr>
            <w:color w:val="000080"/>
            <w:spacing w:val="0"/>
            <w:w w:val="100"/>
            <w:position w:val="0"/>
            <w:u w:val="single"/>
            <w:shd w:val="clear" w:color="auto" w:fill="auto"/>
            <w:lang w:val="ru-RU" w:eastAsia="ru-RU" w:bidi="ru-RU"/>
          </w:rPr>
          <w:t>пунктом 1</w:t>
        </w:r>
        <w:r>
          <w:rPr>
            <w:color w:val="000080"/>
            <w:spacing w:val="0"/>
            <w:w w:val="100"/>
            <w:position w:val="0"/>
            <w:shd w:val="clear" w:color="auto" w:fill="auto"/>
            <w:lang w:val="ru-RU" w:eastAsia="ru-RU" w:bidi="ru-RU"/>
          </w:rPr>
          <w:t xml:space="preserve"> </w:t>
        </w:r>
      </w:hyperlink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hyperlink w:anchor="bookmark5" w:tooltip="Current Document">
        <w:r>
          <w:rPr>
            <w:color w:val="000080"/>
            <w:spacing w:val="0"/>
            <w:w w:val="100"/>
            <w:position w:val="0"/>
            <w:shd w:val="clear" w:color="auto" w:fill="auto"/>
            <w:lang w:val="ru-RU" w:eastAsia="ru-RU" w:bidi="ru-RU"/>
          </w:rPr>
          <w:t>2</w:t>
        </w:r>
      </w:hyperlink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3 Постановления Правительства РФ от 29.12.2021 № 2571 установлено, что позиции 14, 15 и 36 приложения применяются в случае, если при осуществлении закупки начальная (максимальная) цена контракта превышает 1 млн. рублей;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было указано ранее, начальная (максимальная) цена контракта составляет 1 135 000,00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 был обязан установить в извещении дополнительные требования к участникам закупки в соответствии с Постановлением № 2571.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части 5 статьи 31 Закона о контрактной системе информация об установленных требованиях в соответствии с частями 1, 1.1, 2 и 2.1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осуществлении закупки, содержащее, в том числе, требования, предъявляемые к участникам закупки в соответствии в соответствии с частями 2 и 2.1 (при наличии таких требований) статьи 31 настоящего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 извещение о проведении электронного аукциона не содержит дополнительные требования к участникам закупки в соответствии с Постановлением № 2571.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Мурманского УФАС приходит к выводу, что Заказчиком нарушены требования части 4 статьи 31 Закона о контрактной системе, а именно: неправомерно не установлены дополнительные требования к участнику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представители Заказчика пояснили, что дополнительные требования в соответствии с позицией 15 приложения к Постановлению № 2571 не были установлены вследствие некорректной работы (технической ошибки) ЕИС.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размещении информации о закупке в ЕИС в электронном виде, специалистом данное требование не было отражено (не проставлена галочка в разделе «Требование к участникам»).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при рассмотрении поступивших заявок комиссией по осуществлению закупок посредством получения информации, находящейся в ЕИС в разделе «Реестр контрактов» установлено соответствие участников таким дополнительным требованиям.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Мурманского УФАС установлено, что на участие в закупке №</w:t>
      </w:r>
      <w:r>
        <w:fldChar w:fldCharType="begin"/>
      </w:r>
      <w:r>
        <w:rPr/>
        <w:instrText> HYPERLINK "https://zakupki.gov.ru/epz/order/notice/ea20/view/common-info.html?regNumber=0149100004625000004"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0149100004625000004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было подано 10 заявок.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определения поставщика (подрядчика, исполнителя) победителем электронного аукциона признан участник закупки с идентификационным номером заявки - 175.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Мурманского УФАС проверила победителя закупки - ООО «Аб- Холдинг» на опыт исполнения аналогичных работ и установила его соответствие дополнительным требованиям в соответствии с позицией 15 приложения к Постановлению № 2571.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обстоятельствах, учитывая, что победитель закупки фактически соответствует дополнительным требованиям, Комиссия Мурманского УФАС приходит к выводу, что выдача предписания нецелесообразна.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Мурманского УФАС России, руководствуясь статьями 99, 106 Закона о контрактной системе,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индивидуального предпринимателя Арутюняна Ары Руслановича на действия Заказчика - Управления Федеральной службы государственной регистрации, кадастра и картографии по Мурманской области при проведении электронного аукциона на выполнение работ по текущему ремонту помещения здания, расположенного по адресу: Мурманская область, г. Мурманск, пр. Тарана, д. 24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(извещение №</w:t>
      </w:r>
      <w:r>
        <w:fldChar w:fldCharType="begin"/>
      </w:r>
      <w:r>
        <w:rPr/>
        <w:instrText> HYPERLINK "https://zakupki.gov.ru/epz/order/notice/ea20/view/common-info.html?regNumber=0149100004625000004"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0149100004625000004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 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Управление Федеральной службы государственной регистрации, кадастра и картографии по Мурманской области нарушившим пункт 12 части 1 статьи 42 Закона о контрактной системе, часть 4 статьи 31 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14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не выдавать.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30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течение трёх месяцев со дня его принятия.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27000" distB="450850" distL="0" distR="0" simplePos="0" relativeHeight="125829380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127000</wp:posOffset>
                </wp:positionV>
                <wp:extent cx="1700530" cy="234950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8.25pt;margin-top:10.pt;width:133.90000000000001pt;height:18.5pt;z-index:-125829373;mso-wrap-distance-left:0;mso-wrap-distance-top:10.pt;mso-wrap-distance-right:0;mso-wrap-distance-bottom:35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42570" distB="0" distL="0" distR="1789430" simplePos="0" relativeHeight="125829382" behindDoc="0" locked="0" layoutInCell="1" allowOverlap="1">
            <wp:simplePos x="0" y="0"/>
            <wp:positionH relativeFrom="page">
              <wp:posOffset>2751455</wp:posOffset>
            </wp:positionH>
            <wp:positionV relativeFrom="paragraph">
              <wp:posOffset>242570</wp:posOffset>
            </wp:positionV>
            <wp:extent cx="389890" cy="572770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3248025</wp:posOffset>
                </wp:positionH>
                <wp:positionV relativeFrom="paragraph">
                  <wp:posOffset>678180</wp:posOffset>
                </wp:positionV>
                <wp:extent cx="1280160" cy="103505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55.75pt;margin-top:53.399999999999999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3202305</wp:posOffset>
                </wp:positionH>
                <wp:positionV relativeFrom="paragraph">
                  <wp:posOffset>367665</wp:posOffset>
                </wp:positionV>
                <wp:extent cx="1725295" cy="25590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52.15000000000001pt;margin-top:28.94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450850" distL="0" distR="0" simplePos="0" relativeHeight="125829383" behindDoc="0" locked="0" layoutInCell="1" allowOverlap="1">
                <wp:simplePos x="0" y="0"/>
                <wp:positionH relativeFrom="page">
                  <wp:posOffset>5942965</wp:posOffset>
                </wp:positionH>
                <wp:positionV relativeFrom="paragraph">
                  <wp:posOffset>127000</wp:posOffset>
                </wp:positionV>
                <wp:extent cx="1069975" cy="23495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997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Калитина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67.94999999999999pt;margin-top:10.pt;width:84.25pt;height:18.5pt;z-index:-125829370;mso-wrap-distance-left:0;mso-wrap-distance-top:10.pt;mso-wrap-distance-right:0;mso-wrap-distance-bottom:35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Калитина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76767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Калитина Наталия Александровна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51515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51515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6733ОО7327В37318156А55ЕС0А95С725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33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76767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51515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24.07.2024 </w:t>
      </w:r>
      <w:r>
        <w:rPr>
          <w:rFonts w:ascii="Arial" w:eastAsia="Arial" w:hAnsi="Arial" w:cs="Arial"/>
          <w:color w:val="76767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по 17.10.2025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М.Е. Прохорова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0" w:line="218" w:lineRule="auto"/>
        <w:ind w:left="3960" w:right="0" w:firstLine="0"/>
        <w:jc w:val="left"/>
        <w:rPr>
          <w:sz w:val="12"/>
          <w:szCs w:val="12"/>
        </w:rPr>
      </w:pPr>
      <w:r>
        <w:rPr>
          <w:color w:val="29292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76767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выдан: Прохорова Маргарита Евгеньевна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№ </w:t>
      </w:r>
      <w:r>
        <w:rPr>
          <w:rFonts w:ascii="Arial" w:eastAsia="Arial" w:hAnsi="Arial" w:cs="Arial"/>
          <w:color w:val="51515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ЗЕ63ЕА1</w:t>
      </w:r>
      <w:r>
        <w:rPr>
          <w:rFonts w:ascii="Arial" w:eastAsia="Arial" w:hAnsi="Arial" w:cs="Arial"/>
          <w:color w:val="76767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ВЕ93Е8ЕЕА2ЕОАВА5АЕ163СООВ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33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76767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51515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04.04.2024 </w:t>
      </w:r>
      <w:r>
        <w:rPr>
          <w:rFonts w:ascii="Arial" w:eastAsia="Arial" w:hAnsi="Arial" w:cs="Arial"/>
          <w:color w:val="76767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51515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28.06.2025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Конох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5" w:line="218" w:lineRule="auto"/>
        <w:ind w:left="3960" w:right="0" w:firstLine="0"/>
        <w:jc w:val="left"/>
        <w:rPr>
          <w:sz w:val="12"/>
          <w:szCs w:val="12"/>
        </w:rPr>
      </w:pPr>
      <w:r>
        <w:rPr>
          <w:color w:val="29292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90909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выдан: Конох Анна Александровна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№ </w:t>
      </w:r>
      <w:r>
        <w:rPr>
          <w:rFonts w:ascii="Arial" w:eastAsia="Arial" w:hAnsi="Arial" w:cs="Arial"/>
          <w:color w:val="76767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0080763ЕА18243СЕ740С087Е9АВ6Е0А42С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400" w:line="240" w:lineRule="auto"/>
        <w:ind w:left="33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76767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 06.1</w:t>
      </w:r>
      <w:r>
        <w:rPr>
          <w:rFonts w:ascii="Arial" w:eastAsia="Arial" w:hAnsi="Arial" w:cs="Arial"/>
          <w:color w:val="51515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1.2024 </w:t>
      </w:r>
      <w:r>
        <w:rPr>
          <w:rFonts w:ascii="Arial" w:eastAsia="Arial" w:hAnsi="Arial" w:cs="Arial"/>
          <w:color w:val="76767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51515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30.01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.2026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Исп.Конох А.А.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тел.8(8152) 68-50-55 вн.051-112</w:t>
      </w:r>
    </w:p>
    <w:sectPr>
      <w:footerReference w:type="default" r:id="rId10"/>
      <w:footnotePr>
        <w:pos w:val="pageBottom"/>
        <w:numFmt w:val="decimal"/>
        <w:numRestart w:val="continuous"/>
      </w:footnotePr>
      <w:pgSz w:w="11900" w:h="16840"/>
      <w:pgMar w:top="1062" w:right="816" w:bottom="1413" w:left="1100" w:header="634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10037445</wp:posOffset>
              </wp:positionV>
              <wp:extent cx="5727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790.35000000000002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9859645</wp:posOffset>
              </wp:positionV>
              <wp:extent cx="572770" cy="10033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7.050000000000004pt;margin-top:776.35000000000002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Другое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Другое"/>
    <w:basedOn w:val="Normal"/>
    <w:link w:val="CharStyle6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footer" Target="footer2.xml"/></Relationships>
</file>