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1108075" simplePos="0" relativeHeight="125829378" behindDoc="0" locked="0" layoutInCell="1" allowOverlap="1">
            <wp:simplePos x="0" y="0"/>
            <wp:positionH relativeFrom="page">
              <wp:posOffset>1774190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е-таИ: 1о59@Газ.§оу.ги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сайт: тс\с.регт.1гь.росте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8" w:val="left"/>
                              </w:tabs>
                              <w:bidi w:val="0"/>
                              <w:spacing w:before="0" w:line="240" w:lineRule="auto"/>
                              <w:ind w:left="0" w:righ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810/25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99999999999999pt;margin-top:57.399999999999999pt;width:203.05000000000001pt;height:162.2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64, г. Пермь, 614990</w:t>
                        <w:br/>
                        <w:t>тел. (342) 235-12-00, факс (342) 235-10-67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е-таИ: 1о59@Газ.§оу.ги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сайт: тс\с.регт.1гь.росте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8" w:val="left"/>
                        </w:tabs>
                        <w:bidi w:val="0"/>
                        <w:spacing w:before="0" w:line="240" w:lineRule="auto"/>
                        <w:ind w:left="0" w:right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 810/25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27375" distB="0" distL="156845" distR="2052955" simplePos="0" relativeHeight="125829381" behindDoc="0" locked="0" layoutInCell="1" allowOverlap="1">
                <wp:simplePos x="0" y="0"/>
                <wp:positionH relativeFrom="page">
                  <wp:posOffset>765175</wp:posOffset>
                </wp:positionH>
                <wp:positionV relativeFrom="paragraph">
                  <wp:posOffset>3140075</wp:posOffset>
                </wp:positionV>
                <wp:extent cx="597535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25pt;margin-top:247.25pt;width:47.050000000000004pt;height:17.300000000000001pt;z-index:-125829372;mso-wrap-distance-left:12.35pt;mso-wrap-distance-top:246.25pt;mso-wrap-distance-right:161.65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2700" distB="0" distL="114300" distR="114300" simplePos="0" relativeHeight="125829383" behindDoc="0" locked="0" layoutInCell="1" allowOverlap="1">
            <wp:simplePos x="0" y="0"/>
            <wp:positionH relativeFrom="page">
              <wp:posOffset>713740</wp:posOffset>
            </wp:positionH>
            <wp:positionV relativeFrom="paragraph">
              <wp:posOffset>9259570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/>
        <w:keepLines/>
        <w:widowControl w:val="0"/>
        <w:shd w:val="clear" w:color="auto" w:fill="auto"/>
        <w:tabs>
          <w:tab w:pos="3949" w:val="left"/>
        </w:tabs>
        <w:bidi w:val="0"/>
        <w:spacing w:before="0" w:after="0"/>
        <w:ind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</w:t>
        <w:tab/>
        <w:t>предприниматель</w:t>
      </w:r>
      <w:bookmarkEnd w:id="0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Арутюнян Ара Русланович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108850, г. Москва, п. Внуковское, кв-л 81, влд. 57, стр. 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1040" w:right="0" w:firstLine="0"/>
        <w:jc w:val="both"/>
      </w:pPr>
      <w:r>
        <w:fldChar w:fldCharType="begin"/>
      </w:r>
      <w:r>
        <w:rPr/>
        <w:instrText> HYPERLINK "mailto:zakupki-kontrol@maill.ru"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2акирИ-коп(то1@,таШ.ш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Министерство здравоохранения Пермского края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614015, г. Пермь, ул. Ленина, 51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1040" w:right="0" w:firstLine="0"/>
        <w:jc w:val="both"/>
      </w:pPr>
      <w:r>
        <w:fldChar w:fldCharType="begin"/>
      </w:r>
      <w:r>
        <w:rPr/>
        <w:instrText> HYPERLINK "mailto:ealfaizullina@minzdrav.permkrai.ru"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еа1Гаш|111па@1т1пхс1гау|.ктткга1.Г11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  <w:bookmarkEnd w:id="5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0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ко@8ЬегЬапк-а81.ги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059/06/105-63/2025</w:t>
      </w:r>
      <w:bookmarkEnd w:id="7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(по жалобе ИП Арутюняна А.Р., вх. № 861/25 от 24.01.2025 г.)</w:t>
      </w:r>
    </w:p>
    <w:p>
      <w:pPr>
        <w:pStyle w:val="Style14"/>
        <w:keepNext/>
        <w:keepLines/>
        <w:widowControl w:val="0"/>
        <w:shd w:val="clear" w:color="auto" w:fill="auto"/>
        <w:tabs>
          <w:tab w:pos="9274" w:val="left"/>
        </w:tabs>
        <w:bidi w:val="0"/>
        <w:spacing w:before="0" w:after="280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27.01.2025 г.</w:t>
        <w:tab/>
        <w:t>г. Пермь</w:t>
      </w:r>
      <w:bookmarkEnd w:id="9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Пермскому краю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 - Субботина Е.С.,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Качин М.Е.,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Чудинова А.М.,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представителей сторон (извещены надлежащим образом),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индивидуального предпринимателя Арутюняна Ары Руслановича (далее - Заявитель) на действия Министерства здравоохранения Пермского края (далее - Заказчик) при проведении открытого аукциона в электронной форме на поставку специализированного лечебного питания (изв. № 0156200000524000762),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закупках), нарушены действиями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 3 ст. 99 Закона о закупках,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№ 0156200000524000762 Заказчиком проводился электронный аукцион на поставку специализированного лечебного питания.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проведении электронного аукциона: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 проведении электронного аукциона размещено в единой информационной системе в сфере закупок \\л\л\-.хакирк1.до\'.ги (далее - ЕИС) - 27.12.2024 г.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максимальная цена контракта - 1 839 893,00 руб.;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подачи заявок - 20.01.2025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Заказчиком в нарушение требований Закона о закупках не установлены дополнительные требования к участникам закупки, предусмотренные п. 33 раздела 6 приложения к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ПП РФ № 2571).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с доводами, изложенными в жалобе Заявителя не согласен, просит признать жалобу необоснованной, о чем подробно указывает в представленных письменных возражениях.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5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закупках,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6 ст. 23 Закона о закупках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использования каталога товаров, работ, услуг для обеспечения государственных и муниципальных нужд утверждены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 формирования, Правила использования).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пп. «б» п. 2 Правил использования КТРУ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4 Правил использования Заказчики обязаны применять информацию, включенную в позицию каталога в соответствии с пп. «б» - «г» и «е» - «з»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5 Правил использования Заказчик вправе указать в извещении об осуществлении закупки, приглашении и документации о закупке (в случае если Законом о закупках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Закона о закупках, которые не предусмотрены в позиции каталога, за исключением случаев: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6 Правил использования в случае предоставления дополнительной информации, предусмотренной п. 5 Правил использования,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п. 7 Правил использования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Закона о закупках. При проведении предусмотренных Законом о закупках электронных процедур, закрытых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электронных процедур характеристики объекта закупки, предусмотренные п. 1 ч. 1 ст. 33 Закона о закупках,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1 ст. 42, п. 1 ч. 1 ст. 75 Закона о закупках соответственно.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пп. «а», «д» п. 10 Правил формирования в позицию каталога включается: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0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код позиции каталога, формируемый в соответствии с п. 12 настоящих Правил формирования;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68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справочная информация: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информация о типовых условиях контрактов, подлежащих применению при закупке товара, работы, услуги (при наличии).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034-2014.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12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 1 ч. 1 ст. 31 Закона о закупках, требования, предъявляемые к участникам закупки в соответствии с ч. 2 и 2.1 (при наличии таких требований) ст. 31 Закона о закупках,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Закона о закупках (при наличии такого требования).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2 ст. 31 Закона о закупках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3 ст. 31 Закона о закупках перечень информации и документов, которые подтверждают соответствие участников закупок дополнительным требованиям, указанным в ч. 2 и 2.1 ст. 31 Закона о закупках, устанавливается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4 ст. 31 Закона о закупках в случае установления Правительством Российской Федерации в соответствии с ч. 2 ст. 31 Закона о закупках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ч. 6 ст. 31 Закона о закупках Заказчики не вправе устанавливать требования к участникам закупок в нарушение требований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пп. «а» п. 1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«а» п. 3 ПП РФ № 2571 установлено, что положения ПП РФ № 2571 применяются при проведении конкурентных способов определения поставщиков (подрядчиков, исполнителей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«б» п. 3 ПП РФ № 2571 установлено, что для целей настоящего постановления договором, предусмотренным пунктом 1 позиции 2, пунктом 1 позиции 9, пунктом 1 позиции 10, пунктом 1 позиции 11, пунктом 1 позиции 12, позицией 14, пунктами 1 и 2 позиции 15, пунктом 2 позиции 17, пунктами 1 и 2 позиции 18, позициями 32 - 36, пунктом 1 позиции 37, пунктом 1 позиции 39, позициями 40 и 41 приложения в графе «Дополнительные требования к участникам закупки», считается контракт, заключенный и исполненный в соответствии с Законом о закупках, либо договор, заключенный и исполненный в соответствии с Федеральным законом «О закупках товаров, работ, услуг отдельными видами юридических лиц».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33 раздела 6 приложения к ПП РФ № 2571 при оказании услуг общественного питания и (или) поставка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 к участникам закупки устанавливается следующее дополнительное требование: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опыта исполнения участником закупки договора, предусматривающего оказание услуг общественного питания и (или) поставки пищевых продуктов. Цена оказанных услуг и (или) поставленных товаров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у участника закупки, являющегося физическим лицом, либо у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судимости за преступления, предусмотренные статьей 236 Уголовного кодекса Российской Федерации (за исключением лиц, у которых такая судимость погашена или снята);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непривлечение участника закупки, являющегося физическим лицом, либо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к административной ответственности за совершение административных правонарушений, предусмотренных статьями 6.3, 6.5 - 6.7, 14.43, 14.44 - 14.46.2 Кодекса Российской Федерации об административных правонарушениях;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в предусмотренном Федеральным законом «О контрактной системе в сфере закупок товаров, работ, услуг для обеспечения государственных и муниципальных нужд»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пп. «в» п. 1 ч. 1 ст. 43 Закона о закупках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качестве информации и документов, подтверждающих соответствие участников закупки дополнительным требованиям, в п. 33 раздела 6 приложения к ПП РФ № 2571 установлено следующее: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2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 приемки оказанных услуг и (или) поставленных товаров, подтверждающий цену оказанных услуг и (или) поставленных товаров;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справка об отсутствии у участника закупки, являющегося физическим лицом, либо у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судимости за преступления, предусмотренные статьей 236 Уголовного кодекса Российской Федерации;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декларация участника закупки о непривлечении участника закупки, являющегося физическим лицом, либо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к административной ответственности за совершение административных правонарушений, предусмотренных статьями 6.3, 6.5 - 6.7, 14.43, 14.44 - 14.46.2 Кодекса Российской Федерации об административных правонарушениях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2 ст. 42 Закона о закупках извещение об осуществлении закупки, если иное не предусмотрено Закона о закупках, должно содержать описание объекта закупки в соответствии со ст. 33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с п. 1, 2 ч. 1 ст. 33 Закона о закупках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3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2 ч. 1 ст.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2 ст. 33 Закона о закупках описание объекта закупки в соответствии с требованиями, указанными в ч. 1 ст. 33 Закона о закупках,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проведении закупки № 0156200000524000762 объектом закупки является поставка специализированного лечебного питания, соответствующего позиции КТРУ 10.86.10.191-00000002 - «Смесь энтеральная».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Установлено, что помимо обязательной для применения характеристики позицией КТРУ 10.86.10.191-00000002 форма выпуска - сухая, Заказчиком установлены дополнительные характеристики с указанием обоснования дополнительных характеристик: «В соответствии с положениями статьи 33 Федерального закона от 05.04.2013 № 44-ФЗ в связи с отсутствием в КТРУ потребительских свойств, в том числе функциональных, технических, качественных, эксплуатационных характеристик товара, работы, услуги, 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3 ст. 39 Закона об основах охраны здоровья граждан предусмотрено, что специализированными продуктами лечебного питания являются пищевые продукты с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установленным химическим составом, энергетической ценностью и физическим свойствами, доказанным лечебным эффектом, которые оказывают специфическое влияние на восстановление нарушенных или утраченных в результате заболевания функций организма, профилактику этих нарушений, а также на повышение адаптивных возможностей организма.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Специализированные продукты лечебного питания являются патогенетической терапией (основным методом лечения) наследственных заболеваний обмена веществ.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закупка, осуществляется на оказание услуг по поставке специализированного лечебного питания, а не оказание услуг общественного питания или поставке пищевых продуктов, Заказчиком правомерно не установлено дополнительное требование к участникам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Заявитель не обеспечил явку себя или своего представителя. Более того, Заявителем в соответствии ч. 4 ст. 106 Закона о закупках не представлены доказательства в подтверждение обоснованности доводов жалобы. Доводы жалобы не нашли своего подтверждения.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статей 99, 106 Федерального закона «О контрактной системе в сфере закупок товаров, работ, услуг для обеспечения государственных и муниципальных нужд» Комиссия,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Арутюняна Ары Руслановича на действия Министерства здравоохранения Пермского края при проведении открытого аукциона в электронной форме на поставку специализированного лечебного питания (изв. № 0156200000524000762)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80" w:right="542" w:bottom="118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17500" distB="265430" distL="0" distR="0" simplePos="0" relativeHeight="125829384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317500</wp:posOffset>
                </wp:positionV>
                <wp:extent cx="1572895" cy="2101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25.pt;width:123.85000000000001pt;height:16.550000000000001pt;z-index:-125829369;mso-wrap-distance-left:0;mso-wrap-distance-top:25.pt;mso-wrap-distance-right:0;mso-wrap-distance-bottom:20.9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0530" distB="0" distL="0" distR="1807210" simplePos="0" relativeHeight="125829386" behindDoc="0" locked="0" layoutInCell="1" allowOverlap="1">
            <wp:simplePos x="0" y="0"/>
            <wp:positionH relativeFrom="page">
              <wp:posOffset>2766695</wp:posOffset>
            </wp:positionH>
            <wp:positionV relativeFrom="paragraph">
              <wp:posOffset>430530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3159760</wp:posOffset>
                </wp:positionH>
                <wp:positionV relativeFrom="paragraph">
                  <wp:posOffset>500380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8.80000000000001pt;margin-top:39.3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7685" distB="48895" distL="0" distR="0" simplePos="0" relativeHeight="125829387" behindDoc="0" locked="0" layoutInCell="1" allowOverlap="1">
                <wp:simplePos x="0" y="0"/>
                <wp:positionH relativeFrom="page">
                  <wp:posOffset>6149975</wp:posOffset>
                </wp:positionH>
                <wp:positionV relativeFrom="paragraph">
                  <wp:posOffset>527685</wp:posOffset>
                </wp:positionV>
                <wp:extent cx="1042670" cy="2165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25pt;margin-top:41.550000000000004pt;width:82.100000000000009pt;height:17.050000000000001pt;z-index:-125829366;mso-wrap-distance-left:0;mso-wrap-distance-top:41.550000000000004pt;mso-wrap-distance-right:0;mso-wrap-distance-bottom:3.85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E4E4E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Субботина Екатерина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О0СОС822В29790В5ВЗЕ4ВЕА073РВ878651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14.05.2025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0.pt;margin-top:36.70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3132455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6.65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А.М. Чудинов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Чудинов Артём Михайлович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008606Е91930АЗВ96В99ОЕВЗЗАВ8Е5ВС38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06.09.2024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0.pt;margin-top:36.45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3132455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65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М.Е. Качин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Качин Матвей Егорович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79АВ84Е792О7423Е9295С0АОО95ОС7Е7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03.04.2025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05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10005695</wp:posOffset>
              </wp:positionV>
              <wp:extent cx="5727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7.85000000000002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10005695</wp:posOffset>
              </wp:positionV>
              <wp:extent cx="5727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787.85000000000002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3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320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line="276" w:lineRule="auto"/>
      <w:ind w:left="104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