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459740</wp:posOffset>
            </wp:positionH>
            <wp:positionV relativeFrom="paragraph">
              <wp:posOffset>12700</wp:posOffset>
            </wp:positionV>
            <wp:extent cx="2670175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70175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1337310</wp:posOffset>
                </wp:positionH>
                <wp:positionV relativeFrom="paragraph">
                  <wp:posOffset>1057910</wp:posOffset>
                </wp:positionV>
                <wp:extent cx="899160" cy="1524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05.3pt;margin-top:83.299999999999997pt;width:70.799999999999997pt;height:12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1426210</wp:posOffset>
                </wp:positionH>
                <wp:positionV relativeFrom="paragraph">
                  <wp:posOffset>1347470</wp:posOffset>
                </wp:positionV>
                <wp:extent cx="725170" cy="15240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12.3pt;margin-top:106.10000000000001pt;width:57.100000000000001pt;height:12.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2419350</wp:posOffset>
                </wp:positionH>
                <wp:positionV relativeFrom="paragraph">
                  <wp:posOffset>2234565</wp:posOffset>
                </wp:positionV>
                <wp:extent cx="658495" cy="2317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84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3103/25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90.5pt;margin-top:175.95000000000002pt;width:51.850000000000001pt;height:18.2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3103/25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1316355</wp:posOffset>
                </wp:positionH>
                <wp:positionV relativeFrom="paragraph">
                  <wp:posOffset>634365</wp:posOffset>
                </wp:positionV>
                <wp:extent cx="975360" cy="1524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03.65000000000001pt;margin-top:49.950000000000003pt;width:76.799999999999997pt;height:12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758190</wp:posOffset>
                </wp:positionH>
                <wp:positionV relativeFrom="paragraph">
                  <wp:posOffset>789940</wp:posOffset>
                </wp:positionV>
                <wp:extent cx="2045335" cy="15240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9.700000000000003pt;margin-top:62.200000000000003pt;width:161.05000000000001pt;height:12.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1002030</wp:posOffset>
                </wp:positionH>
                <wp:positionV relativeFrom="paragraph">
                  <wp:posOffset>1609725</wp:posOffset>
                </wp:positionV>
                <wp:extent cx="1554480" cy="1587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Мясницкии проезд, д.4, стр.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8.900000000000006pt;margin-top:126.75pt;width:122.40000000000001pt;height:12.5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Мясницкии проезд, д.4, стр. 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1289050</wp:posOffset>
                </wp:positionH>
                <wp:positionV relativeFrom="paragraph">
                  <wp:posOffset>1746885</wp:posOffset>
                </wp:positionV>
                <wp:extent cx="96901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01.5pt;margin-top:137.55000000000001pt;width:76.2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648970</wp:posOffset>
                </wp:positionH>
                <wp:positionV relativeFrom="paragraph">
                  <wp:posOffset>1887220</wp:posOffset>
                </wp:positionV>
                <wp:extent cx="2240280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тел. (495) 784-75-05, факс (495) 607-49-29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1.100000000000001pt;margin-top:148.59999999999999pt;width:176.40000000000001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тел. (495) 784-75-05, факс (495) 607-49-29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588010</wp:posOffset>
                </wp:positionH>
                <wp:positionV relativeFrom="paragraph">
                  <wp:posOffset>2030730</wp:posOffset>
                </wp:positionV>
                <wp:extent cx="2392680" cy="15557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268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 xml:space="preserve">факс (495) 607-42-92, </w:t>
                            </w:r>
                            <w:r>
                              <w:rPr>
                                <w:color w:val="46609C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1о77@0а8.еоу.ги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.300000000000004pt;margin-top:159.90000000000001pt;width:188.40000000000001pt;height:12.25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 xml:space="preserve">факс (495) 607-42-92, </w:t>
                      </w:r>
                      <w:r>
                        <w:rPr>
                          <w:color w:val="46609C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1о77@0а8.еоу.ги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09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акад. Б.В. Петровского» п.Гео1&lt;1181о^1@тес1.П1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04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«Ароса» тГо@8апс1а1о\\со1т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100" w:line="206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ко@го8екогд.гп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916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077/06/106-759/2025 о нарушении</w:t>
        <w:br/>
        <w:t>законодательства о контрактной системе</w:t>
        <w:br/>
        <w:t>23.01.2025</w:t>
        <w:tab/>
        <w:t>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видео-конференц</w:t>
        <w:softHyphen/>
        <w:t>связи),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акад. Б.В. Петровского»: А.А. Григорьевой (по доверенности № 01-исх/1 от 09.01.2025);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«Ароса», о времени и порядке заседания Комиссии Управления уведомлены надлежащим образом посредством функционала Единой информационной системы,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«Ароса» (далее — Заявитель) на действия ФГБНУ «РНЦХ им. акад. Б.В. Петровского» (далее — Заказчик) при проведении открытого конкурса в электронной форме на право заключения контракта на поставку комплексного модуля для нужд ФГБНУ «РНЦХ им. Б.В. Петровского» (Закупка №0373100072124001868) (далее -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конкурса.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посредством функционала Единой информационной системы.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4" w:val="left"/>
        </w:tabs>
        <w:bidi w:val="0"/>
        <w:spacing w:before="0" w:after="0" w:line="259" w:lineRule="auto"/>
        <w:ind w:left="0" w:right="0" w:firstLine="720"/>
        <w:jc w:val="both"/>
        <w:rPr>
          <w:sz w:val="20"/>
          <w:szCs w:val="20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1" w:right="535" w:bottom="773" w:left="7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2025-3188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согласно описанию объекта закупки в составе структурированной форме извещения Заказчиком установлены требования к закупаемому товару «Модульный комплекс», ОКПД2 41.20.20.290: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Назначение: Экспериментально - биологическое подразделение, соответствующего современным международным стандартам, включающего в себя лабораторные и вспомогательные помещения для разработки и ведения отдельных научных процессов с целью дальнейшего развития медико-биологических, фармацевтических исследований и повышения научного потенциала университета.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Комплекс должен состоять из следующих модулей: Модуль «Экспериментально</w:t>
        <w:softHyphen/>
        <w:t>исследовательская зона».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товару и работам (услугам):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без механических повреждений Монтаж товара -наличие Пуско-наладка товара -наличие Инструктаж работников Заказчика -наличие По окончания поставки Комплекса территория должна быть приведена в порядок, проведено благоустройство.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поставке приложить не менее: Руководства по эксплуатации или инструкции по эксплуатации на русском языке на все элементы, входящие в состав комплекса; Паспорт или формуляр; Сертификаты качества на материалы.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модульного Комплекса, (ДхШхВ) мм.: Общая площадь комплекса составляет не менее 1100 м2 Комплекс должен быть оборудован центральной системой отопления, системой подвода холодной воды, системой центральной канализации, системой электропитания 220 В и 380 В. Температура внутри комплекса в зимний период определяется санитарными нормами действующего законодательством, по согласованию с заказчиком. Техническое описание конструктивных элементов комплекса: Стены - определяется планировочным решением, по согласованию с заказчиком. Перекрытия - определяется планировочным решением, по согласованию с заказчиком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6" w:val="left"/>
        </w:tabs>
        <w:bidi w:val="0"/>
        <w:spacing w:before="0" w:after="0" w:line="230" w:lineRule="auto"/>
        <w:ind w:left="0" w:right="0" w:firstLine="74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67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в Приложении 1 «Объект закупки ТЗ модуль» Заказчиком в разделе 2.3 «Модуль «Экспериментально-исследовательская зона №2» 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2.4.4.3 установлено: «Капсула С1 должна иметь переход в капсулу С2,С3,С4,С5,С8,С9,С11, П27», однако в описании объекта закупки не представлено описание капсулы П27 и какими техническими характеристиками она должна обладать, что не позволяет оценить объем поставки.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представитель Заказчика пояснил, что п.2.4.4.3. относится к описанию капсулы С1, при этом в пп.2.4.3. приведен полный перечень технологических капсул.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считает необходимым отметить, что Заказчиком в п.2.4.3 Приложения 1 «Объект закупки ТЗ модуль» установлено: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Модуль должен состоять из 33 основных технологических капсул, объединенных инженерными, слаботочными и беспроводными сетями, а также обеспечивать последовательность технологического процесса: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С1 - не менее 1шт.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С2 - не менее 1 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С3 - не менее 1 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С4 - не менее 1 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С5 - не менее 1шт.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С6 - не менее 4 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С7 - не менее 4 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С8 - не менее 1 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С9 - не менее 9 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С10 - не менее 9 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С11 - не менее 1шт.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не может согласиться с пояснения представителя Заказчика, так как из п. 2.4.4.3, очевидно, следует, что Капсула С1 должна иметь переход, в том числе в капсулу П27, которая не отражена в п. 2.4.3 Приложения 1 «Объект закупки ТЗ модуль».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составе жалобы Заявитель указывает, что в п. 2.4.14.3 раздела 2.3 Модуль «Экспериментально-исследовательская зона №2» Приложения 1 «Объект закупки ТЗ модуль» Заказчиком установлено: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Капсула С11 должна иметь переход в капсулу С1.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Штатное освещение в модуле 2 -наличие;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Аварийное освещение в модуле 2-наличие.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Заявитель указывает, что в описании объекта закупки в Приложении 1 «Объект закупки ТЗ модуль» не содержится требований к модулю 2.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п.1. Приложения 1 «Объект закупки ТЗ модуль» указано на объект закупки в виде модульного комплекса в количестве 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свою очередь, Комиссия Управления отмечает, что согласно ч.1 ст. 34 Закона о контрактной системе контракт заключается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на условиях, предусмотренных извещением об осуществлении закупки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 или приглашением, документацией о закупке, заявкой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2025-3188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участника закупки, с которым заключается контракт.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положениях извещения об осуществлении закупки установлены противоречивые требования в последовательности технологического процесса капсулы, а также в наличии условий к модулю 2, что может повлечь за собой исполнение контракта на неоднозначных условиях.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 и содержат признаки состава административного правонарушения, предусмотренного ч. 1.4 ст. 7.30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в пп.2.1.4, 2.1.32. описания объекта закупки в Приложении 1 «Объект закупки ТЗ модуль» применяются утратившие силу нормативные документы: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 2.2.1.3218-14 «Санитарно-эпидемиологические требования к устройству, оборудованию и содержанию экспериментально-биологических клиник»;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 76.13330.2011 «Электротехнические устройства».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сведениям справочно-правовой системы «КонсультантПлюс» документ СП 2.2.1.3218-14 «Санитарно</w:t>
        <w:softHyphen/>
        <w:t>эпидемиологические требования к устройству, оборудованию и содержанию экспериментально-биологических клиник» утратил силу с 01.01.2021 в связи с изданием Постановления Правительства РФ от 08.10.2020 № 1631 (ред. от 31.12.2020) «Об отмене нормативных правовых актов федеральных органов исполнительной власти,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санитарно-эпидемиологического надзора» (п. 93).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СП 76.13330.2011 «СНиП 3.05.06-85 Электротехнические устройства» пересмотрен «СП 76.13330.2016. Свод правил. Электротехнические устройства. Актуализированная редакция СНиП 3.05.06-85» (утв. Приказом Минстроя России от 16.12.2016 Ы 955/пр).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на момент публикации извещения о проведении закупочной процедуры Заказчику надлежит руководствоваться положениями действующих нормативно-правовых актов, чтобы не вводить участников закупки в заблуждение при ознакомлении с положениями извещения.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 и содержат признаки состава административного правонарушения, предусмотренного ч. 1.4 ст. 7.30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в составе извещения не установлено требование к наличию и сроку гарантийных обязательств, при этом при приёмке товара указано на наличие документации о гарантии на поставляемый товар.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0"/>
          <w:szCs w:val="20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672" w:left="703" w:header="0" w:footer="24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Комиссия отмечает, что согласно п.17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2025-3188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заказчика, и размещает в единой информационной системе извещение об осуществлении закупки, которое должно содержать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 силу ч.2.2 ст.96 Закона о контрактной системе Заказчик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вправе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установить в извещении об осуществлении закупки, документации о закупке, проекте контракта, приглашении требование обеспечения гарантийных обязательств в случае установления требований к таким обязательствам в соответствии с ч.4 ст.33 Закона о контрактной системе. Размер обеспечения гарантийных обязательств не может превышать десять процентов от начальной (максимальной) цены контракта, от цены контракта, заключаемого с единственным поставщиком (подрядчиком, исполнителем).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извещение об осуществлении закупки должно содержать требования к обеспечению гарантийных обязательств, в случае установления Заказчиком требований к таким обязательствам в соответствии с ч.4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не предъявлялись требования к обеспечению гарантийных обязательств, что не противоречит требованиям п.17 ч.1 ст.42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п.5.3 проекта контракта, размещенного в составе извещения Заказчиком, в том числе установлено: «В случае установления требования о предоставлении обеспечения гарантийных обязательств, размер обеспечения таких обязательств устанавливается в разделе 4 Электронного контракта. Срок предоставления обеспечения гарантийных обязательств 12 месяцев. Способ обеспечения гарантийных обязательств, срок действия независимой гарантии определяются в соответствии с требованиями Закона № 44-ФЗ».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раздел 4 проекта контракта не содержит информации о размере обеспечения гарантийных обязательств, что позволяет прийти к однозначному выводу, что в рамках осуществления данной закупки оспариваемые требования не предъявляются.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4 ст. 106 Закона о контрактной системе Заявителем не представлено документов и сведений, свидетельствующих о нарушении Заказчиком норм законодательства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том, что вышеуказанный довод жалобы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положения извещения содержат противоречия в части указания места поставки товара.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обосновании своей позиции Заявитель указывает, что в Приложении 1 «Объект закупки ТЗ модуль» Заказчиком указано: «Адрес поставки: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»; в составе структурированной формы извещения Заказчиком указано: «Место поставки товара, выполнения работы или оказания услуги: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Российская Федерация, Москва, ул. Цюрупы, д. 3»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6 ч. 1 ст. 42 Закона о контрактной системе при осуществлении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количестве (за исключением случая, предусмотренного частью 24 статьи 22 настоящего Федерального закона),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составе структурированной формы извещения указан конкретный адрес места поставки: Москва, ул. Цюрупы, дом 3. При этом обращает внимание, что данные обстоятельства не могут считаться противоречием и вводить в заблуждение участников закупки, поскольку адрес поставки указывает на один и тот же город.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Заявителем не представлено документов и сведений, свидетельствующих об ограничении количества участников закупки и о нарушении Заказчиком норм законодательства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изложенные в извещении о закупке требования к адресу поставки необоснованно создали одним участникам размещения закупки преимущество перед другими и являются непреодолимыми для некоторых участников размещения закупки, а также каким-либо иным образом повлекли за собой ограничение количества участников размещения закупки или препятствует исполнению контракта на указанных условиях.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том, что вышеуказанный довод жалобы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в ходе проведения внеплановой проверки Комиссией Управления установлено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 01.10.2023 года при проведении электронных процедур, закрытых электронных процедур характеристики объекта закупки указываются с использованием Единой информационной системы при формировании извещения о закупке, приглашения принять участие в определении поставщика (подрядчика, исполнителя) (Постановление Правительства РФ от 31.10.2022 № 1946 «О внесении изменений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нужд, закупок товаров, работ, услуг отдельными видами юридических лиц и признании утратившими силу постановления Правительства Российской Федерации от 26 сентября 1997 г. № 1222 и отдельных положений некоторых актов Правительства Российской Федерации»), при этом, участник закупки, подавая заявку, должен указывать конкретные характеристики предлагаемых товаров также в электронном виде.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структурированной формы извещения об осуществлении закупки Заказчиком установлены следующие требования к закупаемому товару «Модульный комплекс. Идентификатор: 170912988», ОКПД2 41.20.20.290: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Наименование характеристики: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14" w:left="699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модульного Комплекса, (ДхШхВ) мм.: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Значение характеристики: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площадь комплекса составляет не менее 1100 м2 Комплекс должен быть оборудован центральной системой отопления, системой подвода холодной воды, системой центральной канализации, системой электропитания 220 В и 380 В. Температура внутри комплекса в зимний период определяется санитарными нормами действующего законодательством, по согласованию с заказчиком. Техническое описание конструктивных элементов комплекса: Стены - определяется планировочным решением, по согласованию с заказчиком. Перекрытия - определяется планировочным решением, по согласованию с заказчиком.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Инструкция по заполнению характеристики в заявке: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закупки указывает в заявке конкретное значение характеристики.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 в наименовании характеристики указано на наличие таких требований, как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«(ДхШхВ),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мм», вместе с тем в значении такой характеристики не приведено описания длины, ширины, высоты модульного комплекса, что может вводить в заблуждение и препятствовать подаче заявки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Более того, Комиссия Управления отмечает, что извещение сформировано таким образом, что по данной характеристики не представляется определить какое именно конкретное значение необходимо представить в заявке участнику закупки, а именно указать все, что описано по характеристике «Описание модульного Комплекса,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(ДхШхВ)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мм» или, например, общую площадь, которая не имеет конкретное значение.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ч.1 ст.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описание объекта закупки должно быть полным и достоверным и не содержать требования, которые могут вводить участников закупки в заблуждение и тем самым создавать препятствие для подачи заявки на участие.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 и содержат признаки состава административного правонарушения, предусмотренного ч. 1.4 ст. 7.30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также установлено, что файл «Критерии оценки и рассмотрения», размещенный в составе извещения в формате «рсИ» и описывающий порядок оценки заявок на участие в закупке, содержит страницы в сканированном виде не в полном объеме (часть информации обрезана), в связи с чем участникам закупочной процедуры не представляется возможным должным образом ознакомиться с данным документом.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случае размещения заказчиком в единой информационной системе документов в формате, не обеспечивающем возможности для его ознакомления, при том, что такой текст необходим для заполнения заявки, может привести к невозможности участников закупки заполнить заявку надлежащим образом.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720"/>
        <w:jc w:val="both"/>
        <w:rPr>
          <w:sz w:val="20"/>
          <w:szCs w:val="20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596" w:left="703" w:header="0" w:footer="1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Для недопущения подобных действий действующим законодательством в сфере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2025-3188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установлены требования по объективному описанию объекта закупки и включению такого описания в извещение о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этим, Комиссия Управления полагает, что сформированная подобным образом положение критериев и порядка оценки не отвечает, прежде всего, принципам, заложенным п.1 ч.1 ст.33 Закона о контрактной системе, так само по себе объективное описание закупки должно быть не только содержательным, но и не должно никоим образом ограничивать количество участников закупки, ввиду чего вышеуказанное содержит признаки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отмечает, что согласно протоколу подведения итогов определения поставщика (подрядчика, исполнителя) от 21.01.2025 №ИЭОК1 на участие в закупке подана единственная заявка, признанная соответствующей требованиям извещения об осуществлении закупки, что указывает на возможность подачи заявки при установленных условиях к описанию объекта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также отмечает, что в рассматриваемом случае порядок оценки не применялся ввиду наличия единственной заявки, что свидетельствует о том, что выявленные выше нарушения в этой части не повлияли на результат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1162" w:left="7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«Ароса» на действия ФГБНУ «РНЦХ им. акад. Б.В. Петровского» обоснованной в части неправомерного описания объекта закупки, установления требований в извещении об осуществлении закупки и документов к нему.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нарушения п.1 ч.1 ст.33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9" w:val="left"/>
        </w:tabs>
        <w:bidi w:val="0"/>
        <w:spacing w:before="0" w:after="20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6" w:bottom="1936" w:left="7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9" behindDoc="0" locked="0" layoutInCell="1" allowOverlap="1">
                <wp:simplePos x="0" y="0"/>
                <wp:positionH relativeFrom="page">
                  <wp:posOffset>483235</wp:posOffset>
                </wp:positionH>
                <wp:positionV relativeFrom="paragraph">
                  <wp:posOffset>330200</wp:posOffset>
                </wp:positionV>
                <wp:extent cx="1847215" cy="2501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8.050000000000004pt;margin-top:26.pt;width:145.45000000000002pt;height:19.699999999999999pt;z-index:-125829374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1" behindDoc="0" locked="0" layoutInCell="1" allowOverlap="1">
            <wp:simplePos x="0" y="0"/>
            <wp:positionH relativeFrom="page">
              <wp:posOffset>2936875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3394075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7.25pt;margin-top:63.450000000000003pt;width:100.8pt;height:7.9000000000000004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3351530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63.89999999999998pt;margin-top:38.700000000000003pt;width:135.59999999999999pt;height:20.15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2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330200</wp:posOffset>
                </wp:positionV>
                <wp:extent cx="1197610" cy="2501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66.19999999999999pt;margin-top:26.pt;width:94.299999999999997pt;height:19.699999999999999pt;z-index:-125829371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009Е4В25ОАЕ808О44Е0В7ВЕ0438СП1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21.03.2024 по 14.06.2025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6" w:bottom="1936" w:left="7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9410" distL="0" distR="0" simplePos="0" relativeHeight="125829384" behindDoc="0" locked="0" layoutInCell="1" allowOverlap="1">
                <wp:simplePos x="0" y="0"/>
                <wp:positionH relativeFrom="page">
                  <wp:posOffset>483235</wp:posOffset>
                </wp:positionH>
                <wp:positionV relativeFrom="paragraph">
                  <wp:posOffset>114300</wp:posOffset>
                </wp:positionV>
                <wp:extent cx="1371600" cy="25019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8.050000000000004pt;margin-top:9.pt;width:108.pt;height:19.699999999999999pt;z-index:-125829369;mso-wrap-distance-left:0;mso-wrap-distance-top:9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6" behindDoc="0" locked="0" layoutInCell="1" allowOverlap="1">
            <wp:simplePos x="0" y="0"/>
            <wp:positionH relativeFrom="page">
              <wp:posOffset>2936875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3394075</wp:posOffset>
                </wp:positionH>
                <wp:positionV relativeFrom="paragraph">
                  <wp:posOffset>589915</wp:posOffset>
                </wp:positionV>
                <wp:extent cx="1280160" cy="100330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67.25pt;margin-top:46.450000000000003pt;width:100.8pt;height:7.9000000000000004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3351530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63.89999999999998pt;margin-top:21.699999999999999pt;width:135.59999999999999pt;height:20.150000000000002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9410" distL="0" distR="0" simplePos="0" relativeHeight="125829387" behindDoc="0" locked="0" layoutInCell="1" allowOverlap="1">
                <wp:simplePos x="0" y="0"/>
                <wp:positionH relativeFrom="page">
                  <wp:posOffset>5810885</wp:posOffset>
                </wp:positionH>
                <wp:positionV relativeFrom="paragraph">
                  <wp:posOffset>114300</wp:posOffset>
                </wp:positionV>
                <wp:extent cx="1322705" cy="25019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57.55000000000001pt;margin-top:9.pt;width:104.15000000000001pt;height:19.699999999999999pt;z-index:-125829366;mso-wrap-distance-left:0;mso-wrap-distance-top:9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2Е366ЕОЗОЕЕ902П8968ЕА4В2С7С60465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20.05.2024 по 13.08.2025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9" behindDoc="0" locked="0" layoutInCell="1" allowOverlap="1">
            <wp:simplePos x="0" y="0"/>
            <wp:positionH relativeFrom="page">
              <wp:posOffset>2958465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3351530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263.89999999999998pt;margin-top:11.75pt;width:135.59999999999999pt;height:20.150000000000002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00803Е81769ПЕ8688001Е612СЗС6В74577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560" w:line="240" w:lineRule="auto"/>
        <w:ind w:right="0" w:firstLine="0"/>
        <w:jc w:val="left"/>
      </w:pP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6" w:bottom="1158" w:left="7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465455</wp:posOffset>
              </wp:positionH>
              <wp:positionV relativeFrom="page">
                <wp:posOffset>10266045</wp:posOffset>
              </wp:positionV>
              <wp:extent cx="6489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6.649999999999999pt;margin-top:808.35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471170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2025-3188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7.100000000000001pt;margin-top:794.7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2025-3188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471170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2025-3188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37.100000000000001pt;margin-top:794.70000000000005pt;width:51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2025-3188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471170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2025-3188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37.100000000000001pt;margin-top:794.70000000000005pt;width:51.100000000000001pt;height:7.9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2025-3188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3798570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299.10000000000002pt;margin-top:33.6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3775075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297.25pt;margin-top:37.5pt;width:10.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3798570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299.10000000000002pt;margin-top:33.649999999999999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3775075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297.25pt;margin-top:37.5pt;width:10.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3798570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299.10000000000002pt;margin-top:33.649999999999999pt;width:5.2999999999999998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3775075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297.25pt;margin-top:37.5pt;width:10.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Основной текст (3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Основной текст (3)"/>
    <w:basedOn w:val="Normal"/>
    <w:link w:val="CharStyle34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image" Target="media/image2.jpeg"/><Relationship Id="rId22" Type="http://schemas.openxmlformats.org/officeDocument/2006/relationships/image" Target="media/image2.jpeg" TargetMode="Externa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/Relationships>
</file>