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60960</wp:posOffset>
                </wp:positionV>
                <wp:extent cx="2045335" cy="30162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0.049999999999997pt;margin-top:4.7999999999999998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603" w:bottom="621" w:left="64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МКНЦ имени А.С. Логинова ДЗМ</w:t>
      </w:r>
    </w:p>
    <w:p>
      <w:pPr>
        <w:pStyle w:val="Style2"/>
        <w:keepNext w:val="0"/>
        <w:keepLines w:val="0"/>
        <w:framePr w:w="1411" w:h="240" w:wrap="none" w:vAnchor="text" w:hAnchor="page" w:x="2514" w:y="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framePr w:w="3130" w:h="394" w:wrap="none" w:vAnchor="text" w:hAnchor="page" w:x="641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^.пи^тадоте^ОV@ткпс.^и</w:t>
      </w:r>
    </w:p>
    <w:p>
      <w:pPr>
        <w:pStyle w:val="Style2"/>
        <w:keepNext w:val="0"/>
        <w:keepLines w:val="0"/>
        <w:framePr w:w="1138" w:h="240" w:wrap="none" w:vAnchor="text" w:hAnchor="page" w:x="2653" w:y="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framePr w:w="2453" w:h="461" w:wrap="none" w:vAnchor="text" w:hAnchor="page" w:x="1986" w:y="9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Мясницкий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проезд, д.4, стр. 1</w:t>
        <w:br/>
        <w:t>107078, г. Москва,</w:t>
      </w:r>
    </w:p>
    <w:p>
      <w:pPr>
        <w:pStyle w:val="Style5"/>
        <w:keepNext w:val="0"/>
        <w:keepLines w:val="0"/>
        <w:framePr w:w="1805" w:h="394" w:wrap="none" w:vAnchor="text" w:hAnchor="page" w:x="6406" w:y="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Гилев Д.В.</w:t>
      </w:r>
    </w:p>
    <w:p>
      <w:pPr>
        <w:pStyle w:val="Style2"/>
        <w:keepNext w:val="0"/>
        <w:keepLines w:val="0"/>
        <w:framePr w:w="3830" w:h="917" w:wrap="none" w:vAnchor="text" w:hAnchor="page" w:x="1275" w:y="14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1о77@Га8.еоу.ги</w:t>
      </w:r>
    </w:p>
    <w:p>
      <w:pPr>
        <w:pStyle w:val="Style12"/>
        <w:keepNext/>
        <w:keepLines/>
        <w:framePr w:w="3830" w:h="917" w:wrap="none" w:vAnchor="text" w:hAnchor="page" w:x="1275" w:y="1427"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28.01.2025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3039/25</w:t>
      </w:r>
      <w:bookmarkEnd w:id="0"/>
    </w:p>
    <w:p>
      <w:pPr>
        <w:pStyle w:val="Style5"/>
        <w:keepNext w:val="0"/>
        <w:keepLines w:val="0"/>
        <w:framePr w:w="2957" w:h="398" w:wrap="none" w:vAnchor="text" w:hAnchor="page" w:x="6416" w:y="1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с1апп1д11е\&lt;)3@д1паП.со1п</w:t>
      </w:r>
    </w:p>
    <w:p>
      <w:pPr>
        <w:pStyle w:val="Style2"/>
        <w:keepNext w:val="0"/>
        <w:keepLines w:val="0"/>
        <w:framePr w:w="490" w:h="240" w:wrap="none" w:vAnchor="text" w:hAnchor="page" w:x="1141" w:y="2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4" w:after="9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8" w:right="0" w:bottom="9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077/06/106-659/2025 о нарушении</w:t>
        <w:br/>
        <w:t>законодательства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6393180</wp:posOffset>
                </wp:positionH>
                <wp:positionV relativeFrom="paragraph">
                  <wp:posOffset>38100</wp:posOffset>
                </wp:positionV>
                <wp:extent cx="798830" cy="20129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3.40000000000003pt;margin-top:3.pt;width:62.899999999999999pt;height:15.8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23.01.2025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МКНЦ имени А.С. Логинова ДЗМ: Е.Н. Николаева (по дов. № 83/24 от 08.10.2024),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Гилев Д.В.: М.Л. Денисовой (по дов. № 3 от 09.10.2024),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Гилев Д.В. (далее — Заявитель) на действия ГБУЗ МКНЦ имени А.С. Логинова ДЗМ (далее — Заказчик) при проведении запроса котировок в электронной форме на право заключения государственного контракта на поставку расходных материалов для реанимации (Этап 14) в 2025 году для нужд ГБУЗ МКНЦ имени А.С. Логинова ДЗМ (Закупка № 0373200022224002757) (далее - запрос котировок),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ст.33 Закона о контрактной систем содержит в себе закрытый перечень случаев, когда Заказчик вправе закупать товары конкретного производителя за исключением случаев, отраженных в пп. «б» - «г» п.1 ч.1 ст.33 Закона о контрактной системе,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 обязанность по формированию описания объекта закупки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По мнению Заявителя, совокупности установленных параметров к закупаемым товарам по п. 3, 4 «Набор с датчиком для измерения артериального давления» соответствуют товары единственного производителя, а именно: «Б.Браун Мельзунген АГ», при этом ограничивающей к поставке товаров иного производителя является следующая характеристика: «Два встроенных кабеля с четырехконтактными разъемами совместимыми с соединительными кабелями Комбитранс производства Б.Браун Мельзунген АГ, имеющимся у заказчика» по п. 3 «Набор с датчиком для измерения артериального давления», «Три встроенных кабеля с четырехконтактными разъемами совместимыми с соединительными кабелями Комбитранс производства Б.Браун Мельзунген АГ, имеющимся у заказчика» по п. 4 «Набор с датчиком для измерения артериального давления».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соединительный кабель Комбитранс является расходным материалом, обеспечивающим связь между набором и монитором, а положениями ст.33 Закона о контрактной системе определено, что допускается использование в описании объекта закупки указания на товарный знак, в том числе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Соединительный кабель Комбитранс не является оборудованием в значении, указанном в Законе о контрактной системе, при этом на рынке медицинских изделий, зарегистрированных на территории РФ, имеется как минимум 4 производителя, чьи наборы укомплектованы соединительным кабелем (Гери МеШса1, АГбСЖ 6ЛВЛГ1ТН, МегИ МеШса1 и ЛП- Е(пе' (ВютеШх).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8" w:right="537" w:bottom="947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Заказчиком не указано обоснование несовместимости имеющегося кабеля Комбитранс с иными закупаемыми товарами, кроме как товаров, производства «Б.Браун Мельзунген АГ», не приложена техническая документация кабеля Комбитранс, согласно которой производитель «Б.Браун Мельзунген АГ»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прямо указывает на использование кабеля Комбитранс с набором датчика для измерения артериального давления исключительно производства «Б.Браун Мельзунген АГ», при этом согласно Инструкции по применению медицинского изделия (стр. 14) (регистрационное удостоверение № РЗН 2013/245), опубликованной на сайте Росздравнадзора, «кабели соединительные Комбитранс предназначены для подключения преобразователя(ей) Комбитранс к блоку(ам)инвазивного мониторинга физиологического давления монитора пациента....», следовательно соединительные кабели Комбитранс предназначены для подключения преобразователей. Указанная формулировка не запрещает использовать иные кабели, а лишь раскрывает предназначение соединительного кабеля, а позиция «встроенный кабель с четырехконтакным разъемом совместимый с соединительным кабелем ...» в Инструкции отсутствует.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не согласился с доводом жалобы, при этом пояснил, что инструкция к имеющемуся оборудованию не содержит в документации производителя указание на совместимость, однако, поскольку любые провода, подлежащие соединению между собой должны соединяться между собой и могут быть у разных производителей своими, то требование о совместимости, установленное Заказчиком, подразумевает под собой физическую совместимость, а также передачу сигнала без искажений.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после объявления перерыва представитель Заказчика добавил, что под совокупность установленных параметров к закупаемым товарам по п. 3, 4 «Набор с датчиком для измерения артериального давления» соответствуют товары как производителя: «Б.Браун Мельзунген АГ», так и товары производства «СКАЙ Медикал, а.с.», а именно: набор для мониторинга кровяного давления 8КУ МесПса! одноразовый (РУ № РЗН 2023/19865), в инструкции которого указано, что абсолютных противопоказаний для применения наборов не существует. Решение о применении конкретного набора для конкретного пациента принимает медицинский работник соответствующей квалификации и полномочий, что также подтверждается информационным письмом от ООО «ИМС», являющимся уполномоченным представителем производителя (изготовителя) медицинского изделия.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можно сделать вывод, что техническим требованиям Заказчика удовлетворяет несколько медицинских изделий разных производителей: «Устройства для контроля кровяного давления КОМБИДИН (СотЬк1уп), КОМБИТРАНС (СотЬИгапу), СЕНСОНОР (ВепуоШг)» производства «Б. Браун Мельзунген АГ», а также «Набор для мониторинга кровяного давления 8КУ Мес11са1, одноразовый, стерильный с принадлежностями» производства «СКАЙ Медикал, а.с.».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29" w:lineRule="auto"/>
        <w:ind w:left="0" w:right="0" w:firstLine="72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615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Кроме того, Комиссия Управления отмечает, что Заказчик закупает расходные материалы по п. 3, 4 к имеющемуся у него оборудованию: «Устройства для контроля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2025-3334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кровяного давления КОМБИДИН (СотЪМуп), КОМБИТРАНС (СотЪйгапз), СЕНСОНОР (Ве1Ш)№г)»_ регистрационное удостоверение № РЗН 2013/245 от 20.07.2017, при этом в инструкции по эксплуатации на данное медицинское изделие, размещенной на сайте Росздравнадзора отсутствует указание на запрет использования преобразователей кровяного давления с кабелем соединительным типа Комбитранс иного производителя, кроме «Б. Браун Мельзунген АГ».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из официально зарегистрированных Росздравнадзором технических документов на медицинское изделие и доступных для ознакомления, не следует, что он совместим с расходными материалами исключительно производства «Б. Браун Мельзунген АГ», ввиду чего Комиссия Управления приходит к выводу, что «Набор для мониторинга кровяного давления 8КУ МеШса1, одноразовый, стерильный с принадлежностями» производства «СКАЙ Медикал, а.с.» не противоречит требованиям описания объекта закупки, поскольку технической документацией на оборудование Заказчика не установлен запрет на использование расходных материалов сторонних производителей.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составе жалобы, а также на заседании Комиссии Управления представителем Заявителя не представлены документы и сведения свидетельствующие об ограничении количества участников закупки, а также о невозможности формирования заявки на участие в данной закупке, а также сведений, свидетельствующих о нарушении Заказчиком норм Закона о контрактной системе при установлении требований к поставляемым товарам.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того обстоятельства, что содержащиеся в описании объекта закупки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описании объекта закупки.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также отмечает, что предъявленные Заказчиком требования к поставляемому товару в равной степени распространялись на всех участников аукциона,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Управления приходит к выводу о том, что вышеуказанный довод Заявителя не нашел своего подтверждения 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является необоснованным.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Также в составе жалобы Заявитель указывает, что Заказчиком в описании объекта закупки установлено следующее неправомерное требование: «Возможность применения при изменчивости частоты сердечных сокращений, повреждениях венозных сосудов, эндокардите, флебите».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обосновании своей позиции Заявитель указывает, что согласно Клиническим рекомендациям, утверждённым Минздравом Российской Федерации, основным методом исследования в том числе мониторинга и диагностики изменчивости частот сердечных сокращений, повреждений венозных сосудов, эндокардита, является инструментальная, ультразвуковая диагностика, физикальное обследование пациента и лабораторно</w:t>
        <w:softHyphen/>
        <w:t>инструментальное исследование. В перечень способов исследования при указанных выше заболеваний датчики не входят.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раздела 2 «Медицинские услуги для лечения заболевания, состояния и контроля за лечением» Приказа Министерства здравоохранения Российской Федерации от 20 декабря 2012 г. № 129ги «Об утверждении стандарта специализированной медицинской помощи при сердечной недостаточности», и п. 1.3. «Инструментальные методы исследования» Приказа Минздрава России от 02.03.2021 № 158н «Об утверждении стандарта медицинской помощи взрослым при остром коронарном синдроме без подъема сегмента 8Т электрокардиограммы (диагностика, лечение и диспансерное наблюдение)» следует, что требования Заказчика о возможности применения датчика для измерения артериального давления при изменчивости частоты сердечных сокращений, повреждениях венозных сосудов, эндокардите, флебите, противоречит медицинским показаниям.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Заявитель указывает, что регистрационные удостоверения, а также эксплуатационная документация производителей, размещенная на официальном сайте Росздравнадзора, не содержат информации о возможности применения указанных медицинских изделий при изменчивости частоты сердечных сокращений, повреждениях венозных сосудов, эндокардите, флебите, что свидетельствует о том, что Заказчик закупает товар, не зарегистрированный на территории Российской Федерации.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87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Заказчика, не согласившись с данным доводом жалобы пояснил, что инвазивное измерение давления проводится интраоперационно, а также в отделении реанимации для постоянного контроля кровяного давления. Эта информация является критически важной для понимания текущего состояния больного и принятия дальнейших терапевтических решений. В связи с условиями применения и тяжестью состояния пациентов, важно обеспечить беспрерывную передачу данных о давлении вне зависимости от возникающих состояний. Таким образом, критически важно чтобы наборы для инвазивного измерения давления не имели противопоказаний к применению, тем более, что изменчивость частоты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2025-3334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сердечных сокращений, повреждения венозных сосудов, эндокардит и флебит достаточно часто встречаемые явления у реанимационных пациентов и пациентов, которым проводятся оперативные вмешательства. Наборы, не соответствующие данному требованию, в принципе не нужны Заказчику в связи с невозможностью их адекватного применения.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Инвазивное измерение давления (артериального и венозного) давления является необходимой технологией для лечения пациентов отделений реанимации и интенсивной терапии. У таких больных на фоне тяжелых нарушений жизненно важных функций развиваются экстрасистолии, аритмии, тахи-/брадикардии и другие нарушения частоты сердечных сокращений. Пациенты ОАРИТ часто имеют повреждения венозных сосудов в следствие операций, инвазивных манипуляций, тромбозов и тромбофлебитов. Именно технология инвазивного измерения давления позволяет получать наиболее точную информацию о состоянии сердечно-сосудистой системы пациента в режиме реального времени, для своевременного назначения и коррекции лечения.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требование о возможности применения при изменчивости частоты сердечных сокращений, повреждениях венозных сосудов, эндокардите, флебите» установлено Заказчиком исходя из своей потребности и направлена на достижение единой цели закупки исходя из сферы деятельности Заказчика (охрана здоровья граждан и оказании своевременной медицинской помощи).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после объявления перерыва представитель Заказчика добавил, что 25.08.2023 от ООО «Б.Браун Медикал» было получено письмо, что их устройство можно использовать при изменчивости частоты сердечных сокращений, повреждениях венозных сосудов и т.д. и т. п., при этом по данному критерию возможность использовать устройство в заявленных целях также отображено в информационном письме другого производителя «Скай Медикал, а.с.» (РЗН 2023/19865), имеющегося в распоряжении Заказчика.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обязанность доказывания нарушения Заказчиком своих прав и законных интересов лежит на подателе жалобы, однако, на заседании Комиссии Управления, а так же в составе жалобы Заявителем не представлены документы и сведения свидетельствующие об ограничении количества участников закупки, а также о невозможности формирования заявки на участие в закупке, а также сведений, свидетельствующих о нарушении Заказчиком норм Закона о контрактной системе при установлении оспариваемого требования.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указанный довод жалобы Заявителя не нашел своего подтверждения и является необоснованным.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Гилев Д.В. на действия ГБУЗ МКНЦ имени А.С. Логинова ДЗМ необоснованной.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58" w:right="531" w:bottom="1748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6535" distL="0" distR="0" simplePos="0" relativeHeight="125829382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7.700000000000003pt;margin-top:26.pt;width:145.70000000000002pt;height:19.900000000000002pt;z-index:-125829371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9430" simplePos="0" relativeHeight="125829384" behindDoc="0" locked="0" layoutInCell="1" allowOverlap="1">
            <wp:simplePos x="0" y="0"/>
            <wp:positionH relativeFrom="page">
              <wp:posOffset>3103880</wp:posOffset>
            </wp:positionH>
            <wp:positionV relativeFrom="paragraph">
              <wp:posOffset>403225</wp:posOffset>
            </wp:positionV>
            <wp:extent cx="353695" cy="396240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494665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30000000000001pt;margin-top:38.95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6535" distL="0" distR="0" simplePos="0" relativeHeight="125829385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330200</wp:posOffset>
                </wp:positionV>
                <wp:extent cx="1136650" cy="2527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78.90000000000003pt;margin-top:26.pt;width:89.5pt;height:19.900000000000002pt;z-index:-125829368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00Е5ЕО2ЕА33995761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О5А45С83ЕВ9ЕЕС0Е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31.07.2025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0.90000000000003pt;margin-top:36.30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7.30000000000001pt;margin-top:11.8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009ЕС1900АС0830С593ЕЕ489Е44Е6А415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21.01.2025 по 16.04.2026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80.90000000000003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77.30000000000001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10132060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2025-3334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97.80000000000007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2025-3334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10132060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2025-3334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97.80000000000007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2025-3334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2025-3334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804.5pt;width:51.100000000000001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2025-3334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10132060</wp:posOffset>
              </wp:positionV>
              <wp:extent cx="6489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2025-3334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pt;margin-top:797.80000000000007pt;width:51.100000000000001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2025-3334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10132060</wp:posOffset>
              </wp:positionV>
              <wp:extent cx="64897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2025-3334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pt;margin-top:797.80000000000007pt;width:51.100000000000001pt;height:7.90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2025-3334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10132060</wp:posOffset>
              </wp:positionV>
              <wp:extent cx="648970" cy="10033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2025-3334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7.pt;margin-top:797.80000000000007pt;width:51.100000000000001pt;height:7.9000000000000004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2025-3334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25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25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25pt;margin-top:37.5pt;width:4.5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pt;margin-top:37.5pt;width:5.5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9.25pt;margin-top:37.5pt;width:4.5499999999999998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309.25pt;margin-top:37.5pt;width:4.5499999999999998pt;height:8.1500000000000004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4">
    <w:name w:val="Основной текст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image" Target="media/image1.jpeg"/><Relationship Id="rId20" Type="http://schemas.openxmlformats.org/officeDocument/2006/relationships/image" Target="media/image1.jpeg" TargetMode="External"/><Relationship Id="rId21" Type="http://schemas.openxmlformats.org/officeDocument/2006/relationships/image" Target="media/image2.jpeg"/><Relationship Id="rId22" Type="http://schemas.openxmlformats.org/officeDocument/2006/relationships/image" Target="media/image2.jpeg" TargetMode="External"/><Relationship Id="rId23" Type="http://schemas.openxmlformats.org/officeDocument/2006/relationships/image" Target="media/image3.jpeg"/><Relationship Id="rId24" Type="http://schemas.openxmlformats.org/officeDocument/2006/relationships/image" Target="media/image3.jpeg" TargetMode="External"/></Relationships>
</file>