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60960</wp:posOffset>
                </wp:positionV>
                <wp:extent cx="2045335" cy="30162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0.pt;margin-top:4.7999999999999998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Росреестра по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1314" w:bottom="621" w:left="64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^^^икуапепко@^77.^о8^ее8^^.^и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62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49225" distB="969645" distL="0" distR="0" simplePos="0" relativeHeight="125829380" behindDoc="0" locked="0" layoutInCell="1" allowOverlap="1">
                <wp:simplePos x="0" y="0"/>
                <wp:positionH relativeFrom="page">
                  <wp:posOffset>1684020</wp:posOffset>
                </wp:positionH>
                <wp:positionV relativeFrom="paragraph">
                  <wp:posOffset>149225</wp:posOffset>
                </wp:positionV>
                <wp:extent cx="722630" cy="1524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32.59999999999999pt;margin-top:11.75pt;width:56.899999999999999pt;height:12.pt;z-index:-125829373;mso-wrap-distance-left:0;mso-wrap-distance-top:11.75pt;mso-wrap-distance-right:0;mso-wrap-distance-bottom:76.3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1480" distB="567055" distL="0" distR="0" simplePos="0" relativeHeight="125829382" behindDoc="0" locked="0" layoutInCell="1" allowOverlap="1">
                <wp:simplePos x="0" y="0"/>
                <wp:positionH relativeFrom="page">
                  <wp:posOffset>1259840</wp:posOffset>
                </wp:positionH>
                <wp:positionV relativeFrom="paragraph">
                  <wp:posOffset>411480</wp:posOffset>
                </wp:positionV>
                <wp:extent cx="1557655" cy="2927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проезд, д.4, стр. 1</w:t>
                              <w:br/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9.200000000000003pt;margin-top:32.399999999999999pt;width:122.65000000000001pt;height:23.050000000000001pt;z-index:-125829371;mso-wrap-distance-left:0;mso-wrap-distance-top:32.399999999999999pt;mso-wrap-distance-right:0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mallCap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проезд, д.4, стр. 1</w:t>
                        <w:br/>
                        <w:t>107078, г. Москва,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17245" distL="0" distR="0" simplePos="0" relativeHeight="125829384" behindDoc="0" locked="0" layoutInCell="1" allowOverlap="1">
                <wp:simplePos x="0" y="0"/>
                <wp:positionH relativeFrom="page">
                  <wp:posOffset>4073525</wp:posOffset>
                </wp:positionH>
                <wp:positionV relativeFrom="paragraph">
                  <wp:posOffset>0</wp:posOffset>
                </wp:positionV>
                <wp:extent cx="2294890" cy="4540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9489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«СТРОЙМЕДСЕРВИС»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ооо8т8Йад@дтаП.сот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20.75pt;margin-top:0;width:180.70000000000002pt;height:35.75pt;z-index:-125829369;mso-wrap-distance-left:0;mso-wrap-distance-right:0;mso-wrap-distance-bottom:64.34999999999999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«СТРОЙМЕДСЕРВИС»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ооо8т8Йад@дтаП.сот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8975" distB="0" distL="0" distR="0" simplePos="0" relativeHeight="125829386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688975</wp:posOffset>
                </wp:positionV>
                <wp:extent cx="2432050" cy="58229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1о77@Га8.еоу.ги</w:t>
                            </w:r>
                          </w:p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27.01.2025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2797/25</w:t>
                            </w:r>
                            <w:bookmarkEnd w:id="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3.700000000000003pt;margin-top:54.25pt;width:191.5pt;height:45.850000000000001pt;z-index:-125829367;mso-wrap-distance-left:0;mso-wrap-distance-top:54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1о77@Га8.еоу.ги</w:t>
                      </w:r>
                    </w:p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27.01.2025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2797/25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16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0" w:bottom="9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077/06/106-573/2025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6359525</wp:posOffset>
                </wp:positionH>
                <wp:positionV relativeFrom="paragraph">
                  <wp:posOffset>38100</wp:posOffset>
                </wp:positionV>
                <wp:extent cx="795655" cy="19812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0.75pt;margin-top:3.pt;width:62.649999999999999pt;height:15.6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Управление Росреестра по Москве: Н.Ю. Лукьяненко (по доверенности от 27.12.2024 №Д-143/2024,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«СТРОЙМЕДСЕРВИС»,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«СТРОЙМЕДСЕРВИС» (далее — Заявитель) на действия Управление Росреестра по Москве (далее — Заказчик) при проведении открытого конкурса в электронной форме на право заключения государственного контракта на выполнение работ по капитальному ремонту здания (замена лифтового оборудования), расположенного по адресу: г. Москва, ул. Б. Тульская, д. 15 (Закупка №0173100011725000001) (далее — электронный конкурс,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конкурса.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063" w:val="left"/>
          <w:tab w:pos="3329" w:val="left"/>
          <w:tab w:pos="4318" w:val="left"/>
          <w:tab w:pos="5239" w:val="left"/>
          <w:tab w:pos="5878" w:val="left"/>
          <w:tab w:pos="7649" w:val="left"/>
          <w:tab w:pos="99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согласно извещению об осуществлении закупки при выполнении работ предусмотрена поставка оборудования, например, поставка пассажирского лифта кода ОКПД2 28.22.16.111, который, в свою очередь, входит в перечень товаров (в том числе поставляемых при выполнении закупаемых работ, оказании закупаемых услуг), происходящих из иностранных государств, в отношении которых устанавливается запрет закупок для обеспечения государственных и муниципальных нужд, закупок отдельными видами юридических лиц Приложения №1 к Постановлению Правительства Российской Федерации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(вместе с «Положением о требованиях к форме и содержанию отчета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о порядке формирования и размещения такого отчета в единой информационной системе в сфере</w:t>
        <w:tab/>
        <w:t>закупок товаров,</w:t>
        <w:tab/>
        <w:t>работ,</w:t>
        <w:tab/>
        <w:t>услуг</w:t>
        <w:tab/>
        <w:t>для</w:t>
        <w:tab/>
        <w:t>обеспечения</w:t>
        <w:tab/>
        <w:t>государственных</w:t>
        <w:tab/>
        <w:t>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063" w:val="left"/>
          <w:tab w:pos="3329" w:val="left"/>
          <w:tab w:pos="4318" w:val="left"/>
          <w:tab w:pos="5239" w:val="left"/>
          <w:tab w:pos="5878" w:val="left"/>
          <w:tab w:pos="7649" w:val="left"/>
          <w:tab w:pos="99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нужд, на официальном сайте единой информационной системы в сфере</w:t>
        <w:tab/>
        <w:t>закупок товаров,</w:t>
        <w:tab/>
        <w:t>работ,</w:t>
        <w:tab/>
        <w:t>услуг</w:t>
        <w:tab/>
        <w:t>для</w:t>
        <w:tab/>
        <w:t>обеспечения</w:t>
        <w:tab/>
        <w:t>государственных</w:t>
        <w:tab/>
        <w:t>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 в информационно-телекоммуникационной сети «Интернет», о порядке предоставления федеральному органу исполнительной власти, указанному в части 7 статьи 14 Федерального закона «О контрактной системе в сфере закупок товаров, работ, услуг для обеспечения государственных и муниципальных нужд» и части 7 статьи 3.1-4 Федерального закона «О закупках товаров, работ, услуг отдельными видами юридических лиц», доступа к информации, содержащейся в таких отчетах, размещенных в единой информационной системе в сфере закупок товаров, работ, услуг для обеспечения государственных и муниципальных нужд, о порядке рассмотрения таких отчетов и оценки результатов осуществления в отчетном году указанных закупок этим федеральным органом исполнительной власти»)» (далее — Постановление №1875).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536" w:bottom="915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как отмечено в жалобе, в разделе 6 ЛСР-02-01-01 указано следующее оборудование, которое входят в перечень товаров (в том числе поставляемых при выполнении закупаемых работ, оказании закупаемых услуг), происходящих из иностранных государств Приложения к Постановлению №1875, например, п.100.1 «Персональный компьютер в комплекте с монитором, клавиатурой и мышкой», п.101.1 «Источник бесперебойного питания Энергия ИБП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1200» кода ОКПД2 26.20.4.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чем, по мнению Заявителя, выраженного в составе жалобы, закупаемые Заказчиком товары являются поставляемым оборудованием, ввиду чего Заказчику следовало применить предусмотренные Постановлением №1875 положения.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Аналогичным образом при таких обстоятельствах Заявитель отмечает, что Заказчиком не осуществлено описание поставляемых товаров, являющихся объектом закупки, в соответствии характеристик товара российского происхождения, что нарушает, по мнению Заявителя, положения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591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п.15 ч.1 ст.42 Закона о контрактной системе при осуществлении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2025-2890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</w:t>
      </w:r>
      <w:r>
        <w:rPr>
          <w:color w:val="C9211E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Ч.1.1 ст.33 Закона о контрактной системе регламентировано, что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п.1 ч.2 ст.14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извещением об осуществлении закупки не предусмотрена информация о запрете или об ограничении закупок товаров, происходящих из иностранных государств, работ, услуг.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 Заказчиком закупается выполнение работ по капитальному ремонту здания (замена лифтового оборудования) кода ОКПД2 43.29.19.110.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 рамках обжалуемой процедуры в электронном документе «Описание объекта закупки» отражен стандарт выполняемых работ, в том числе: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«2.1 Подрядчик обязуется выполнить работы по ремонту лифтового оборудования (далее - подъемно- транспортного оборудования) в соответствии с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1 «Перечень объектов закупки» к настоящему Техническому заданию, Приложением 2 «График выполнения работ» к Контракту в порядке и на условиях, предусмотренных Контрактом и настоящим Техническим заданием, а также в соответствии с требованиями актов, указанных в разделе 7 настоящего Технического задания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6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2.23 Подрядчик производит заказ и поставку на объект Заказчика лифтового оборудования, соответствующего требованиям Приложения 1 «Перечень объектов закупки», Приложения 2 «Технические характеристики лифтов», Приложения 3 «Проектная документация», Приложения 4 «Сметная документация» к настоящему Техническому заданию и актов, указанных в пунктах 7.2, 7.73, 7.52, 7.69, 7.44, 7.45, 7.71 настоящего Технического задания.».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0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в Приложении 2 «Технические характеристики лифтов» электронного документа «Описание объекта закупки» конкретизированы технические характеристики лифтов, в частности, следующим образом:</w:t>
      </w:r>
    </w:p>
    <w:tbl>
      <w:tblPr>
        <w:tblOverlap w:val="never"/>
        <w:jc w:val="center"/>
        <w:tblLayout w:type="fixed"/>
      </w:tblPr>
      <w:tblGrid>
        <w:gridCol w:w="1166"/>
        <w:gridCol w:w="859"/>
        <w:gridCol w:w="624"/>
        <w:gridCol w:w="898"/>
        <w:gridCol w:w="1142"/>
        <w:gridCol w:w="960"/>
        <w:gridCol w:w="859"/>
        <w:gridCol w:w="955"/>
        <w:gridCol w:w="902"/>
        <w:gridCol w:w="806"/>
        <w:gridCol w:w="787"/>
        <w:gridCol w:w="624"/>
      </w:tblGrid>
      <w:tr>
        <w:trPr>
          <w:trHeight w:val="196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Город Москва, переулок ул. Большая Тульская, д.15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8А\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V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320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13920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Электри ческий (автомат ический)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пасса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жирск 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2.5 м/с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1250 кг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59,1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Комиссией Управления определено, что в составе локального сметного расчета № ЛСР-02-01-01 электронного документа «Раздел ПД № 12 СМ 1» извещения предусмотрен, например, «Персональный компьютер в комплекте с монитором, клавиатурой и мышкой».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21.01.2025 Заказчиком отменено определение поставщика (подрядчика, исполнителя) №ИО1 в связи с допущением технической ошибки Заказчика при формировании проектно-сметной документации.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вопреки доводам жалобы представитель Заказчика акцентировал внимание, что указанное в составе доводов жалобы и извещении оборудование, в частности лифты, является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используемым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товаром при выполнении закупаемых работ, а не поставляемым.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извещением о проведении закупки не предусмотрен порядок и сроки передачи поставляемого товара, приемки и его оплаты, при этом перечисленное оборудование не переходит на баланс заказчика.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95" w:lineRule="auto"/>
        <w:ind w:left="200" w:right="0" w:firstLine="68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7" w:right="402" w:bottom="658" w:left="91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связи с этим, поскольку предусмотренные запрет и ограничения на допуск товара иностранного происхождения применимы исключительно при поставке товара, а также при поставке товара в рамках выполнения работ, Заказчиком не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2025-2890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установлены соответствующие запрет и ограничения в соответствии с Постановлением № 1875.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в составе жалобы, а также на заседании Комиссии Управления Заявителем не представлено документов и сведений, указывающих на то обстоятельство, что оборудование, в частности лифты, является поставляемым товаром в рамках выполнения работ.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описании объекта закупки требования являются непреодолимыми для участия в закупки, а также каким-либо иным образом повлекло за собой невозможность формирования предложения для участия в закупочной процедуре.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вышеизложенного у Комиссии Управления отсутствуют правовые основания для признания Заказчика нарушившим положения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«СТРОЙМЕДСЕРВИС» на действия Управление Росреестра по Москве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201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03835" distL="0" distR="0" simplePos="0" relativeHeight="12582939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950000000000003pt;margin-top:42.pt;width:145.70000000000002pt;height:19.699999999999999pt;z-index:-125829363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4840" distB="0" distL="0" distR="1804670" simplePos="0" relativeHeight="125829392" behindDoc="0" locked="0" layoutInCell="1" allowOverlap="1">
            <wp:simplePos x="0" y="0"/>
            <wp:positionH relativeFrom="page">
              <wp:posOffset>2973070</wp:posOffset>
            </wp:positionH>
            <wp:positionV relativeFrom="paragraph">
              <wp:posOffset>624840</wp:posOffset>
            </wp:positionV>
            <wp:extent cx="311150" cy="36576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3366135</wp:posOffset>
                </wp:positionH>
                <wp:positionV relativeFrom="paragraph">
                  <wp:posOffset>694690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5.05000000000001pt;margin-top:54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03835" distL="0" distR="0" simplePos="0" relativeHeight="125829393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87.05000000000001pt;margin-top:42.pt;width:81.100000000000009pt;height:19.699999999999999pt;z-index:-125829360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КАЗАРИН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СЕРГЕЙ ИГОРЕВИЧ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 СЕ073ВЕ5С5О6РЕ7501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080" w:right="0" w:firstLine="0"/>
        <w:jc w:val="left"/>
      </w:pPr>
      <w:r>
        <w:drawing>
          <wp:anchor distT="0" distB="0" distL="114300" distR="1900555" simplePos="0" relativeHeight="125829395" behindDoc="0" locked="0" layoutInCell="1" allowOverlap="1">
            <wp:simplePos x="0" y="0"/>
            <wp:positionH relativeFrom="page">
              <wp:posOffset>2951480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3408680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8.39999999999998pt;margin-top:36.45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3366135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5.05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2Е366ЕОЗОЕЕ90208968ЕА4В2С7060465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40" w:right="0" w:firstLine="0"/>
        <w:jc w:val="left"/>
      </w:pPr>
      <w:r>
        <w:drawing>
          <wp:anchor distT="0" distB="0" distL="114300" distR="1900555" simplePos="0" relativeHeight="125829396" behindDoc="0" locked="0" layoutInCell="1" allowOverlap="1">
            <wp:simplePos x="0" y="0"/>
            <wp:positionH relativeFrom="page">
              <wp:posOffset>2951480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3408680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8.39999999999998pt;margin-top:36.450000000000003pt;width:101.3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3366135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65.05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00ЕЗВ71218Е970424В4С41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С7997434Е304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10151745</wp:posOffset>
              </wp:positionV>
              <wp:extent cx="6464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2025-2890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99.35000000000002pt;width:50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2025-2890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2025-2890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2025-2890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10151745</wp:posOffset>
              </wp:positionV>
              <wp:extent cx="64643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2025-2890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00000000000003pt;margin-top:799.35000000000002pt;width:50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2025-2890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10151745</wp:posOffset>
              </wp:positionV>
              <wp:extent cx="646430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2025-2890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200000000000003pt;margin-top:799.35000000000002pt;width:50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2025-2890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25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9999999999999pt;margin-top:37.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19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9.19999999999999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Подпись к картинке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character" w:customStyle="1" w:styleId="CharStyle38">
    <w:name w:val="Основной текст (4)_"/>
    <w:basedOn w:val="DefaultParagraphFont"/>
    <w:link w:val="Styl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60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Подпись к картинке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paragraph" w:customStyle="1" w:styleId="Style37">
    <w:name w:val="Основной текст (4)"/>
    <w:basedOn w:val="Normal"/>
    <w:link w:val="CharStyle38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image" Target="media/image1.jpeg"/><Relationship Id="rId16" Type="http://schemas.openxmlformats.org/officeDocument/2006/relationships/image" Target="media/image1.jpeg" TargetMode="Externa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/Relationships>
</file>