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Arial" w:eastAsia="Arial" w:hAnsi="Arial" w:cs="Arial"/>
          <w:color w:val="476198"/>
          <w:spacing w:val="0"/>
          <w:w w:val="100"/>
          <w:position w:val="0"/>
          <w:sz w:val="72"/>
          <w:szCs w:val="72"/>
          <w:u w:val="single"/>
          <w:shd w:val="clear" w:color="auto" w:fill="auto"/>
          <w:lang w:val="ru-RU" w:eastAsia="ru-RU" w:bidi="ru-RU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  <w:br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  <w:t>е-та11: 1о75@Га8.§оу.ги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МГ/361/25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90" w:lineRule="auto"/>
        <w:ind w:left="0" w:right="0" w:firstLine="0"/>
        <w:jc w:val="left"/>
        <w:rPr>
          <w:sz w:val="18"/>
          <w:szCs w:val="18"/>
        </w:rPr>
      </w:pPr>
      <w:r>
        <w:rPr>
          <w:color w:val="47619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рассмотрению жалобы № 075/06/105-18/2024 о нарушении законодательства при осуществлении закупки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казенное учреждение «Управление автомобильных дорог Забайкальского края»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672039, г. Чита, ул. Забайкальского Рабочего, д. 68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1ю^@хаЪа^одог.ги; а8ир@дки8ех.ги;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1ю^@дки8ех.ги; рпетпауа@хаЪа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"СК ЭКСИТОН" Забайкальский край, УЛ УСУГЛИНСКАЯ, д.7, кв.210 Vо1одак@та^1.^и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819" w:bottom="1231" w:left="1125" w:header="0" w:footer="3" w:gutter="0"/>
          <w:pgNumType w:start="1"/>
          <w:cols w:num="2" w:space="720" w:equalWidth="0">
            <w:col w:w="4090" w:space="1190"/>
            <w:col w:w="467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«Забайкальский центр государственных закупок» 672010, г. Чита, ул. Амурская, д. 13 хаЪдо8хакир@до8хак.е-хаЪ.ги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7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7291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 января 2025 года</w:t>
        <w:tab/>
        <w:t>г. Чита, ул. Лермонтова, 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России; членов комиссии: Осиповой А.О. начальника отдела контроля закупок Забайкальского УФАС России, Оносовой О.С. ведущего специалиста-эксперта отдела контроля закупок Забайкальского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поступившую по средством ЕИС 20.01.2025 жалобу ООО «СК ЭКСИТОН»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комиссией уполномоченного учреждения - ГКУ "Забайкальский центр государственных закупок", заказчиком - ГОСУДАРСТВЕННЫМ КАЗЕННЫМ УЧРЕЖДЕНИЕМ «УПРАВЛЕНИЕ АВТОМОБИЛЬНЫХ ДОРОГ ЗАБАЙКАЛЬСКОГО КРАЯ» при проведении открытого конкурса в электронной форме на выполнение работ по ремонту деревянного моста через р. Арей на км 5+442 автомобильной дороги Подъезд к с. Энгорок в Хилокском районе Забайкальского края (00013284- ОК)» (реестровый номер закупки 0891200000624012502),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ВКС представителя заявителя - Гильдиной Т.Д. (доверенность от 24.01.2025),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ВКС представителя уполномоченного учреждения - Дьякова А.П. (доверенность от 04.12.2024 №15),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 - Еремеева А.Ю. (доверенность от 15.07.2024),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20.01.2025 в адрес Забайкальского УФАС России поступила жалоба ООО «СК ЭКСИТОН» на действия комиссии уполномоченного учреждения при осуществлении закупки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№0891200000624012502.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Заявителем указано,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что общество несогласно с действиями комиссии уполномоченного учреждения. По мнению заявителя, комиссией уполномоченного учреждения необоснованно не учтены представленные документы, подтверждающие опыт участника: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8" w:val="left"/>
        </w:tabs>
        <w:bidi w:val="0"/>
        <w:spacing w:before="0" w:after="0" w:line="240" w:lineRule="auto"/>
        <w:ind w:left="22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договор строительного подряда № 46 от 20.03.2024, на проведение работ по ремонту деревянного моста с. Кононово,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7" w:val="left"/>
        </w:tabs>
        <w:bidi w:val="0"/>
        <w:spacing w:before="0" w:after="0" w:line="240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о приемке работ по форме КС-2 № 1 от 25.05.2024,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7" w:val="left"/>
        </w:tabs>
        <w:bidi w:val="0"/>
        <w:spacing w:before="0" w:after="0" w:line="240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справку о стоимости выполненных работ и затрат по форме КС-3 № 1 от 25.05.2024.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 опубликования в ЕИС Протокола подведения итогов определения поставщика (подрядчика, исполнителя) от 16.01.2025 №ИЭОК1 ООО «СК ЭКСИТОН» направило в адрес организатора закупки запрос о даче разъяснений информации, содержащейся в указанном протоколе в отношении заявки участника закупки. Организатором закупки представлен следующий ответ: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2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Результаты оценки конкурсных заявок по критерию «Квалификация участников закупки»: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Показатель «Наибольшая цена одного из исполненных участником закупки договоров»:</w:t>
      </w:r>
    </w:p>
    <w:tbl>
      <w:tblPr>
        <w:tblOverlap w:val="never"/>
        <w:jc w:val="center"/>
        <w:tblLayout w:type="fixed"/>
      </w:tblPr>
      <w:tblGrid>
        <w:gridCol w:w="1531"/>
        <w:gridCol w:w="1498"/>
        <w:gridCol w:w="1258"/>
        <w:gridCol w:w="1560"/>
        <w:gridCol w:w="1925"/>
        <w:gridCol w:w="2722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Номер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№70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№ 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№ 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№ 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Заявка № 75</w:t>
            </w:r>
          </w:p>
        </w:tc>
      </w:tr>
      <w:tr>
        <w:trPr>
          <w:trHeight w:val="25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Наибольшая цена одного из исполненных участником закупки договоров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*См.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примечаения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8 621 000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5 961 293.90**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0****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96" w:val="left"/>
              </w:tabs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Итоговый балл</w:t>
              <w:tab/>
              <w:t>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показателю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69.15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</w:t>
            </w:r>
          </w:p>
        </w:tc>
      </w:tr>
      <w:tr>
        <w:trPr>
          <w:trHeight w:val="11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96" w:val="left"/>
              </w:tabs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Итоговый балл</w:t>
              <w:tab/>
              <w:t>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показателю с учетом значимости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(0*20)/100=0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(0*20)/100=0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(100*20)/100=20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(69.15*20)/100=13.83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(0*20)/100=0</w:t>
            </w: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Показатель «Общая цена исполненных участником закупки договоров»:</w:t>
      </w:r>
    </w:p>
    <w:tbl>
      <w:tblPr>
        <w:tblOverlap w:val="never"/>
        <w:jc w:val="center"/>
        <w:tblLayout w:type="fixed"/>
      </w:tblPr>
      <w:tblGrid>
        <w:gridCol w:w="1426"/>
        <w:gridCol w:w="1541"/>
        <w:gridCol w:w="1138"/>
        <w:gridCol w:w="1810"/>
        <w:gridCol w:w="1546"/>
        <w:gridCol w:w="3038"/>
      </w:tblGrid>
      <w:tr>
        <w:trPr>
          <w:trHeight w:val="4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 участника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Заявка №70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Заявка № 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Заявка № 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Заявка № 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Заявка № 75</w:t>
            </w:r>
          </w:p>
        </w:tc>
      </w:tr>
      <w:tr>
        <w:trPr>
          <w:trHeight w:val="18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Общая цена исполненных участником закупки договоров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Пред. макс 34 073 810.82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16 278 107.84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5 961 293.90**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0****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Итоговый балл</w:t>
              <w:tab/>
              <w:t>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показателю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47.77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17.50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</w:t>
            </w:r>
          </w:p>
        </w:tc>
      </w:tr>
      <w:tr>
        <w:trPr>
          <w:trHeight w:val="105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Итоговый балл</w:t>
              <w:tab/>
              <w:t>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показателю с учетом значимости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(0*80)/100=0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(0*80)/100=0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(42.77*80)/100=38.22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(17.50*80)/100=14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(0*80)/100=0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3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2" w:val="left"/>
        </w:tabs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Участником закупки в качестве подтверждения опыта по выполнению работ представлено 16 контрактов (договоров), однако все не соответстсвуют установленому показателю - К оценке принимаются исполненный договор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(договоры), предусматривающий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выполнение работ по ремонту, капитальному ремонту, строительству, реконструкции автомобильных мостов или путепроводов.</w:t>
      </w:r>
    </w:p>
    <w:p>
      <w:pPr>
        <w:pStyle w:val="Style3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*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Участником закупки в качестве подтверждения опыта по выполнению работ представлено 9 контрактов (договоров), однако только 1 соответстсвует установленому показателю - К оценке принимаются исполненный договор (договоры), предусматривающий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выполнение работ по ремонту, капитальному ремонту, строительству, реконструкции автомобильных мостов или путепроводов.</w:t>
      </w:r>
    </w:p>
    <w:p>
      <w:pPr>
        <w:pStyle w:val="Style3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**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Участником закупки в качестве подтверждения опыта по выполнению работ представлен 1 контракт (договор), однако он не соответстсвует установленому показателю - К оценке принимаются исполненный договор (договоры), предусматривающий выполнение работ по ремонту, капитальному ремонту, строительству,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реконструкции автомобильных мостов или путепроводов.</w:t>
      </w:r>
    </w:p>
    <w:p>
      <w:pPr>
        <w:pStyle w:val="Style3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***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Участником закупки в качестве подтверждения опыта по выполнению работ представлен 1 контракт (договор), однако он не соответстсвует установленому показателю - К оценке принимаются исполненный договор (договоры), предусматривающий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выполнение работ по ремонту, капитальному ремонту, строительству, реконструкции автомобильных мостов или путепроводов.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оценке принимаются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исключительно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контракты, заключенные и исполненные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соответствии с Федеральным законом № 44 от 5 апреля 2013 года «О контрактной системе в сфере закупок товаров, работ, услуг для обеспечения государственных и муниципальных нужд», и договора, заключенного и исполненного в соответствии с Федеральным законом ^ 223-ФЗ 18 июля 2011 года «О закупках товаров, работ, услуг отдельными видами юридических лиц»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просит приостановить определение поставщика, отменить результаты протоколов, пересмотреть итоги, провести внеплановую проверку. Выдать предписание.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указано, что критерии оценки установлены в соответствии с постановлением Правительства РФ №2604.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Уполномоченным учреждением представлены следующие пояснения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жалоб Заявителей следует, что предметом обжалования являются результаты оценки заявок по «нестоимостным критериям» оценки, а именно одному из подкритериев критерия «Квалификация участников закупки».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12 статьи 99 Закона о контрактной системе при проведении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плановых и внеплановых проверок не подлежат контролю результаты оценки заявок участников закупок в соответствии с критериями, установленными пунктами 3 и 4 части 1 статьи 32 Закона. Такие результаты могут быть обжалованы участниками закупок в судебном порядке.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Правомерность данного подхода подтверждается судебной практикой и практикой рассмотрения аналогичных дел Управлением Федеральной антимонопольной службы по Забайкальскому краю: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Центрального районного суда г. Читы от 14.09.2018 по делу № 2а-3622/2018;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Управления Федеральной антимонопольной службы по Забайкальскому краю от 20.05.2019 № 075/06/53-42/2019;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Управления Федеральной антимонопольной службы по Забайкальскому краю от 05.03.2024 № МГ/978/24 по жалобе № 075/06/105-91/2024;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жалоба Заявителя не соответствуют требованиям статьи 105 Закона о контрактной системе, следовательно, не подлежит рассмотрению, т.к. изложенные в них обстоятельства не относятся к полномочиям и компетенции ФАС России.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дополнительно размещает файл «оценка по нестоимостным критериям», где наглядно представлен процесс расчета и присвоения баллов, согласно формуле».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ходе рассмотрения жалобы представителем уполномоченного учреждения представлены пояснения, что с учетом внесенных в постановление Правительства РФ №2604 изменений, в извещении о закупке установлены требования, что к оценке принимаются исполненные участником закупки с учетом правопреемства (в случае наличия в заявке подтверждающего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документа) гражданско-правовые договоры, которыми в том числе являются контракты по 44-ФЗ (исходя из определения понятий, закрепленных в ст. 3 Закона о контрактной системе) и договоры по 223-ФЗ. Положения извещения о закупке в установленный срок не обжалованы. Запросы на разъяснения документации не поступали. Поскольку представленный участником закупки договор ни одним из вышеуказанных договоров не является, результаты оценки приведены в протоколе без его учета. Считают, что в действиях комиссии отсутствуют нарушения. Жалоба ООО «СК ЭКСИТОН» рассмотрению не подлежит».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17.12.2024 на официальном сайте Единой информационной системы в сфере закупок Государственным казенным учреждением «Забайкальский центр государственных закупок» (далее — организатор закупки) опубликовано извещение о проведении открытого конкурса в электронной форме № 0891200000624012502 на выполнение работ по ремонту деревянного моста через р. Арей нак м 5+442 автомобильной дороги Подъезд к с. Энгорок в Хилокском районе Забайкальского края (00013284-ОК) (далее — закупка, конкурс).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составила 34 073 810,82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Порядком рассмотрения и оценки заявок в извещении установлены 2 критерия: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 (значимость 60);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(значимость 40):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Показатель оценки «Наличие у участников закупки опыта оказания услуги, связанного с предметом контракта» (детализирующий показатель: «Наибольшая цена одного из исполненных участником закупки договоров»).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исполненный договор (договоры), предусматривающий выполнение работ по ремонту, капитальному ремонту, строительству, реконструкции автомобильных мостов или путепроводов.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Перечень документов, подтверждающих наличие у участника закупки опыта выполнения работы, связанного с предметом контракта: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1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(акты) приемки выполненных работ, оказанных услуг, составленные при исполнении такого договора (договоров). Последний акт, составленный при исполнении договора, должен быть подписан не ранее чем за 5 лет до даты окончания срока подачи заявок;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исключительно контракты, заключенные и исполненные в соответствии с Федеральным законом № 44 от 5 апреля 2013 года «О контрактной системе в сфере закупок товаров, работ, услуг для обеспечения государственных и муниципальных нужд», и договора, заключенного и исполненного в соответствии с Федеральным законом ^ 223-ФЗ 18 июля 2011 года «О закупках товаров, работ, услуг отдельными видами юридических лиц»;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документы, в случае их представления в заявке в полном объеме и со всеми приложениями, за исключением проектной документации. Такие 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Если документы, указанные в настоящем разделе,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вправе направить номер реестровой записи из соответствующего реестра».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5 заявок, признаны соответствующими установленным в извещении требованиям, победителем признан участник заявка № 73 (протокол подведения итогов от 16.01.2025).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государственный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заслушав объяснения представителей сторон, Комиссия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11) ч. 1 ст. 42 Закона о контрактной системе извещение о закупке содержит критерии оценки заявок на участие в конкурсах, величины значимости этих критериев в соответствии с законом; в соответствии с п. 4) ч. 2 ст. 42 закона - 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32 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частью 8 статьи 32 Закона о контрактной системе Порядок оценки заявок участников закупки, в том 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числе предельные величины значимости каждого критерия, устанавливается Правительством Российской Федерации. Такой порядок установлен постановлением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^ 2369 и признании утратившими силу некоторых актов и отдельных положений некоторых актов Правительства Российской Федерации».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48 Закона о контрактной системе заявка на участие в закупке состоит из трех частей. Первая часть должна содержать информацию и документы, предусмотренные</w:t>
      </w:r>
      <w:r>
        <w:fldChar w:fldCharType="begin"/>
      </w:r>
      <w:r>
        <w:rPr/>
        <w:instrText> HYPERLINK "https://www.consultant.ru/document/cons_doc_LAW_492046/5a18b3d46fe0fd48f2482cd6ec7ce419763efccd/%23dst2343"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подпунктами "а"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"https://www.consultant.ru/document/cons_doc_LAW_492046/5a18b3d46fe0fd48f2482cd6ec7ce419763efccd/%23dst2344"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"б"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"https://www.consultant.ru/document/cons_doc_LAW_492046/5a18b3d46fe0fd48f2482cd6ec7ce419763efccd/%23dst2346"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"г" пункта 2 части 1 статьи 43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закона. Первая часть также может содержать информацию и документы, предусмотренные</w:t>
      </w:r>
      <w:r>
        <w:fldChar w:fldCharType="begin"/>
      </w:r>
      <w:r>
        <w:rPr/>
        <w:instrText> HYPERLINK "https://www.consultant.ru/document/cons_doc_LAW_492046/5a18b3d46fe0fd48f2482cd6ec7ce419763efccd/%23dst2347"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подпунктом "д" пункта 2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"https://www.consultant.ru/document/cons_doc_LAW_492046/5a18b3d46fe0fd48f2482cd6ec7ce419763efccd/%23dst2347"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части 1 статьи 43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закона. Вторая часть должна содержать информацию и документы, предусмотренные</w:t>
      </w:r>
      <w:r>
        <w:fldChar w:fldCharType="begin"/>
      </w:r>
      <w:r>
        <w:rPr/>
        <w:instrText> HYPERLINK "https://www.consultant.ru/document/cons_doc_LAW_492046/5a18b3d46fe0fd48f2482cd6ec7ce419763efccd/%23dst2337"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подпунктами "м"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"https://www.consultant.ru/document/cons_doc_LAW_492046/5a18b3d46fe0fd48f2482cd6ec7ce419763efccd/%23dst2341"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"р" пункта 1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"https://www.consultant.ru/document/cons_doc_LAW_492046/5a18b3d46fe0fd48f2482cd6ec7ce419763efccd/%23dst2345"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подпунктом "в" пункта 2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  <w:r>
        <w:fldChar w:fldCharType="begin"/>
      </w:r>
      <w:r>
        <w:rPr/>
        <w:instrText> HYPERLINK "https://www.consultant.ru/document/cons_doc_LAW_492046/5a18b3d46fe0fd48f2482cd6ec7ce419763efccd/%23dst2350"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5 части 1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"https://www.consultant.ru/document/cons_doc_LAW_492046/5a18b3d46fe0fd48f2482cd6ec7ce419763efccd/%23dst2350"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43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закона. Третья часть должна содержать информацию, предусмотренную</w:t>
      </w:r>
      <w:r>
        <w:fldChar w:fldCharType="begin"/>
      </w:r>
      <w:r>
        <w:rPr/>
        <w:instrText> HYPERLINK "https://www.consultant.ru/document/cons_doc_LAW_492046/5a18b3d46fe0fd48f2482cd6ec7ce419763efccd/%23dst2348"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"https://www.consultant.ru/document/cons_doc_LAW_492046/5a18b3d46fe0fd48f2482cd6ec7ce419763efccd/%23dst2348"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или</w:t>
      </w:r>
      <w:r>
        <w:fldChar w:fldCharType="begin"/>
      </w:r>
      <w:r>
        <w:rPr/>
        <w:instrText> HYPERLINK "https://www.consultant.ru/document/cons_doc_LAW_492046/5a18b3d46fe0fd48f2482cd6ec7ce419763efccd/%23dst2349"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4 части 1 статьи 43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48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настоящего Федерального закона (если такие критерии установлены извещением об осуществлении закупки);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рассмотрения и оценки первых частей заявок на участие в закупке, после подписания членами комиссии по 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>
      <w:pPr>
        <w:pStyle w:val="Style1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</w:t>
      </w:r>
      <w:r>
        <w:fldChar w:fldCharType="begin"/>
      </w:r>
      <w:r>
        <w:rPr/>
        <w:instrText> HYPERLINK "https://www.consultant.ru/document/cons_doc_LAW_433426/03015a946c3763c9a1cfe566ae855be7460610fa/%23dst100365"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пунктах 3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</w:t>
      </w:r>
      <w:r>
        <w:fldChar w:fldCharType="begin"/>
      </w:r>
      <w:r>
        <w:rPr/>
        <w:instrText> HYPERLINK "https://www.consultant.ru/document/cons_doc_LAW_433426/03015a946c3763c9a1cfe566ae855be7460610fa/%23dst100366" </w:instrText>
      </w:r>
      <w:r>
        <w:fldChar w:fldCharType="separat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4 части 1 статьи 32 </w:t>
      </w:r>
      <w:r>
        <w:fldChar w:fldCharType="end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 критериями оценки этих заявок, окончательных предложений (то есть, в том числе, по пункту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 пунктами 3 и 4 части 1 статьи 32 Закона. Такие результаты могут быть обжалованы участниками закупок в судебном порядке.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Постановлением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^ 2369 и признании утратившими силу некоторых актов и отдельных положений некоторых актов Правительства Российской Федерации»: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"оценка заявок" - действия членов комиссии по осуществлению закупок по присвоению в случаях, предусмотренных Федеральным 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и в соответствии с настоящим Положением баллов заявкам (частям заявок) на основании информации и документов участников закупок;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"критерии оценки" - предусмотренные 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1 статьи 32 </w:t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критерии оценки заявок, в соответствии с которыми осуществляется оценка заявок в отношении цены контракта, суммы цен единиц товара, работы, услуги, расходов на эксплуатацию и ремонт товаров, использование результатов работ (далее - расходы), качественных, функциональных и экологических характеристик объекта закупки (далее - характеристики объекта закупки), квалификации участников закупки, в том числе наличия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(далее соответственно - квалификация</w:t>
        <w:br w:type="page"/>
      </w: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участников закупки, характеристика квалификации участников закупки).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5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пришла к выводу, что заявителем оспариваются действия комиссии уполномоченного учреждения по осуществлению оценки вторых частей по критерию, предусмотренному пунктом 4 части 1 статьи 32 закона, - при принятии в расчет договора, подтверждающего опыт выполнение работ по ремонту, капитальному ремонту, строительству, реконструкции автомобильных мостов или путепроводов, баллы и итоги закупки должны быть иными. Фактически, обращаясь с жалобой в антимонопольный орган, заявитель ставит 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опрос о неправомерности произведенной комиссией по осуществлению закупок оценки по критерию квалификации (опыту заявителя). Поскольку результаты оценки заявок по критерию «Квалификация участников закупки», а именно действия комиссии по присвоению соответствующих баллов заявке ООО «СК ЭКСИТОН», в соответствии с ч. 6 ст. 106 и ч. 12 ст. 99 Закона о контрактной системе, не подлежат контролю в рамках рассмотрения жалобы и проводимой проверки, рассмотрение жалобы не осуществляется. Составленные в ходе осуществления закупки протоколы содержат предусмотренную частями 6, 13 и 17 статьи 48 Закона о контрактной системе информацию, Комиссия не усматривает нарушения принципов контрактной системы в сфере закупок, в том числе установленного ст. 7 Закона о контрактной системе принципа открытости и прозрачности.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комиссия,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Жалобу ООО «СК ЭКСИТОН» признать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7" w:right="430" w:bottom="1185" w:left="97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34315" distL="0" distR="0" simplePos="0" relativeHeight="125829378" behindDoc="0" locked="0" layoutInCell="1" allowOverlap="1">
                <wp:simplePos x="0" y="0"/>
                <wp:positionH relativeFrom="page">
                  <wp:posOffset>727710</wp:posOffset>
                </wp:positionH>
                <wp:positionV relativeFrom="paragraph">
                  <wp:posOffset>101600</wp:posOffset>
                </wp:positionV>
                <wp:extent cx="1572895" cy="2165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300000000000004pt;margin-top:8.pt;width:123.85000000000001pt;height:17.050000000000001pt;z-index:-125829375;mso-wrap-distance-left:0;mso-wrap-distance-top:8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865" distB="0" distL="0" distR="1804670" simplePos="0" relativeHeight="125829380" behindDoc="0" locked="0" layoutInCell="1" allowOverlap="1">
            <wp:simplePos x="0" y="0"/>
            <wp:positionH relativeFrom="page">
              <wp:posOffset>2672080</wp:posOffset>
            </wp:positionH>
            <wp:positionV relativeFrom="paragraph">
              <wp:posOffset>189865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3065145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1.34999999999999pt;margin-top:20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34315" distL="0" distR="0" simplePos="0" relativeHeight="125829381" behindDoc="0" locked="0" layoutInCell="1" allowOverlap="1">
                <wp:simplePos x="0" y="0"/>
                <wp:positionH relativeFrom="page">
                  <wp:posOffset>6360160</wp:posOffset>
                </wp:positionH>
                <wp:positionV relativeFrom="paragraph">
                  <wp:posOffset>101600</wp:posOffset>
                </wp:positionV>
                <wp:extent cx="80772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0.80000000000001pt;margin-top:8.pt;width:63.600000000000001pt;height:17.050000000000001pt;z-index:-125829372;mso-wrap-distance-left:0;mso-wrap-distance-top:8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Гойгов Михаил Багаудинович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6В7ОЗЗВЕ8СС0С94ЕЕ020А9ВЕ5С07А7ЕА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08.10.2024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01.01.2026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140" w:right="0" w:firstLine="0"/>
        <w:jc w:val="left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2672080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3065145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34999999999999pt;margin-top:1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А.О. Осипова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1"/>
          <w:szCs w:val="11"/>
        </w:rPr>
      </w:pPr>
      <w:r>
        <w:rPr>
          <w:b/>
          <w:bCs/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8888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67623В647А866373412268098ЭЕ31969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>02.11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26.01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14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4734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3107690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4.70000000000002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3065145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34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О.С. Оносова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Оносова Ольга Сергеевна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0347С0Е0ОС86186О0А64180Е9А61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1С06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18.12.2023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12.03.2025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770255</wp:posOffset>
              </wp:positionH>
              <wp:positionV relativeFrom="page">
                <wp:posOffset>10045700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0.649999999999999pt;margin-top:791.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5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5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5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5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5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Подпись к таблице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34">
    <w:name w:val="Основной текст (2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3">
    <w:name w:val="Основной текст (4)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line="30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Подпись к таблице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2">
    <w:name w:val="Основной текст (4)"/>
    <w:basedOn w:val="Normal"/>
    <w:link w:val="CharStyle4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