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1781175</wp:posOffset>
            </wp:positionH>
            <wp:positionV relativeFrom="margin">
              <wp:posOffset>0</wp:posOffset>
            </wp:positionV>
            <wp:extent cx="542290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2290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51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1216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Тюменской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625048, г. Тюмень, ул. Холодильная, 58а</w:t>
        <w:br/>
        <w:t>тел. (3452) 50-31-55, факс (3452) 50-59-14</w:t>
        <w:br/>
        <w:t>е-шаП: 1о72@Га8.§оу.ги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3.01.2025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ЮВ/423/25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направлении решения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Большой Саввинский переулок д. 12, строен. 9, г. Москва, 119435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государственных 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Тюменской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Республики д. 24, г. Тюмень, 625003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«Сигма-мед»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Огродная д. 2В, г. Ставрополь, 355007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622" w:bottom="1241" w:left="1101" w:header="0" w:footer="3" w:gutter="0"/>
          <w:cols w:num="2" w:space="720" w:equalWidth="0">
            <w:col w:w="4181" w:space="1123"/>
            <w:col w:w="487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 по списку рассылки</w:t>
      </w: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24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072/06/44/9/2025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990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 января 2025 года</w:t>
        <w:tab/>
        <w:t>г. Тюмень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Тюменской области по контролю в сфере закупок товаров, работ, услуг для обеспечения государственных и муниципальных нужд (далее - Комиссия, антимонопольный орган)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заместитель руководителя управления Верзун Ю.Д., 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Главный специалист-эксперт отдела контроля закупок Назаров И.Г.,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Ведущий специалист-эксперт отдела контроля закупок Романенко В.В.,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участием представителей заказчика: ГБУЗ ТО «Областная клиническая больница № 1» (далее также - заказчик), Гусенкова Д.А. по доверенности № 58 от 17.01.2025, Сорокиной Н.А. по доверенности № 61 от 22.01.2025,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участием представителя уполномоченного органа: Управления государственных закупок Тюменской области (далее - уполномоченный орган), Созоновой Н.А. по доверенности № 12 от 27.02.2024,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заявителя: ООО «Сигма-мед» (далее также - Общество, участник закупки), извещенного надлежащим образом о дате и времени рассмотрения дела,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в дистанционном режиме, посредством плагина ТгиеСопГ в порядке, предусмотренном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системе, Закон № 44-ФЗ) жалобы ООО «Сигма-мед» на действия заказчиков при проведении электронного аукциона на поставку медицинских изделий: препараты диагностические для проведения лабораторных исследований на автоматических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ru-RU" w:eastAsia="ru-RU" w:bidi="ru-RU"/>
        </w:rPr>
        <w:t>|||||||||||||||||||||||||</w:t>
      </w:r>
      <w:bookmarkEnd w:id="2"/>
      <w:r>
        <w:rPr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ru-RU" w:eastAsia="ru-RU" w:bidi="ru-RU"/>
        </w:rPr>
        <w:t xml:space="preserve"> </w:t>
      </w:r>
      <w:r>
        <w:rPr>
          <w:rStyle w:val="CharStyle15"/>
        </w:rPr>
        <w:t>гематологических анализаторах серии ХК-1000, ХХ-550. ХХ-350 (имеющихся у заказчика) (реестровый номер закупки 0167200003424011224),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Тюменской области (далее - Тюменское УФАС России) поступила жалоба ООО «Сигма-мед» на действия заказчиков при проведении электронного аукциона на поставку медицинских изделий: препараты диагностические для проведения лабораторных исследований на автоматических гематологических анализаторах серии ХК-1000, ХХ-550. ХХ-350 (имеющихся у заказчика).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Указанная жалоба заявителя признана соответствующей требованиям, предусмотренным статьёй 105 Закона о контрактной системе, и принята к рассмотрению. Во исполнение требований части 8 статьи 105 Закона о контрактной системе информация о содержании поступившей жалобы, дате и времени её рассмотрения размещены в реестре жалоб на официальном сайте Единой информационной системы в сфере закупок (\\'\\л\'./а1&lt;ир1&lt;1.до\'.П1).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 следующие доводы: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Первый довод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В описании объекта закупки заказчиком неправомерно указана конкретный товарный знак поставляемого товара Вултех. при этом, заказчиком в составе извещения об осуществлении закупки не приложены документы, подтверждающие уникальность данного медицинского изделия. Извещение об осуществлении закупки содержит противоречивые сведения в части возможности (либо невозможности) поставки эквивалентного товара.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Второй довод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Заказчиком к описанию объекта закупки неправомерно не применена позиция КТРУ 21.20.23.110-00000016.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Третий довод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Требования технического задания не позволяют участникам закупки предложить к поставке эквивалентные товары.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и уполномоченным органом представлены письменные возражения на жалобу заявителя, которые приобщены к материалам дела. Заказчик и уполномоченный орган просят Комиссию Тюменского УФАС России признать жалобу заявителя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материалы дела и оценив в совокупности представленные документы, Комиссия Тюменского УФАС России приходит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материалов дела усматривается, что Управление государственных закупок Тюменской области являясь уполномоченным органом, выступило организатором проведения электронного аукциона на поставку медицинских изделий: препараты диагностические для проведения лабораторных исследований на автоматических гематологических анализаторах серии ХК-1000, ХХ-550. ХХ-350 (имеющихся у заказчика), с начальной (максимальной) ценой контракта 1 133 776,72 рублей в интересах заказчиков ГБУЗ ТО «Областная клиническая больница № 1», ГБУЗ ТО «Центр профилактики и борьбы со СПИД», ГБУЗ ТО «Перинатальный центр» (г. Тюмень).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Информация об электронных аукционах была размещена 24.12.2024 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официальном сайте ЕИС в сфере закупок:</w:t>
      </w:r>
      <w:r>
        <w:fldChar w:fldCharType="begin"/>
      </w:r>
      <w:r>
        <w:rPr/>
        <w:instrText> HYPERLINK "http://zakupki.gov.ru/"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11ПрА/а1&lt;11р1&lt;1.ро\лч1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с реестровым номером закупки 0167200003424011224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 электронной площадки в информационно-телекоммуникационной сети «Интернет» определенной для проведения закупок 11ПрЕА\'\\л\\^ЬегЬап1&lt;-аА.1Ч1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рамках указанной закупки заказчику требовались к поставке медицинские изделия: препараты и реагенты диагностические для проведения лабораторных исследований на автоматических гематологических анализаторах, в соответствии с примененным к описанию объекта закупки кодом ОКПД2: 21.20.23.111 «Универсальный дилюент ОСЕ».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3 части 1 статьи 3 Закона о контрактной системе предусмотрено, что закупка товара, работы, услуги для обеспечения государственных или муниципальных нужд (далее - закупка) - совокупность действий,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случае,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12 Закона о контрактной системе предусмотрено,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24 Закона о контрактной системе предусмотрено, что 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первому, второму, третьему доводам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жалобы заявителя Комиссия отмечает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1.1 статьи 33 Закона о контрактной системе предусмотрено, что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2 статьи 33 Закона о контрактной системе предусмотрено,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14 части 3 статьи 4 Закона о контрактной системе предусмотрено, что единая информационная система содержит каталог, товаров, работ, услуг для обеспечения государственных и муниципальных нужд.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5 части 1 статьи 42 Закона о контрактной системе предусмотрено,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в том числе,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6 статьи 23 Закона о контрактной системе предусмотрено,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РФ.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7 Правил использования каталога товаров, работ, услуг для обеспечения государственных и муниципальных нужд (утв. Постановлением Правительства РФ от 08.02.2017 № 145) предусмотрено,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 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Как указано выше, заказчиком к описанию объекта закупки применялся код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ОКПД2: 21.20.23.111 «Универсальный дилюент ^С^», то есть описание объекта закупки осуществлялось в соответствии с общими требованиями статьи 33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описании объекта закупки указано, что реагент применяется для автоматического гематологического анализатора, согласно инструкции по эксплуатации (имеющийся у заказчика).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закупки реагентов для гематологических анализаторов, производства Сисмекс Корпорейшен ХЫ, слово «или эквивалент» не допускается, поскольку возможность эксплуатации оборудования одного производителя совместно с принадлежностями другого производителя определятся производителем медицинского оборудования.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закупки, сформировано на основании потребности заказчика в соответствующем товаре, установленные характеристики к закупаемому товару являются значимыми (существенными) для него.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1.1 Руководства пользователя к анализатору Вучтех ХЫ, прилагаемым к каждому прибору при его поставке, указывается, что при эксплуатации оборудования «разрешается применение только реагентов и растворов для очистки, описанных в этом руководстве».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главе 5 Руководства пользователя к анализатору Вучтех Х^ описаны сами реагенты.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7.1 Руководства пользователя к анализаторам Вучтех Х№-550 ХЫ- 350, прилагаемым к каждому прибору при его поставке, указывается, что при эксплуатации оборудования «разрешается применение только реагентов и растворов для очистки, описанных в этом руководстве».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информационного письма ООО «Сисмекс РУС» № 1659 от 04.09.2024 отсутствие в эксплуатационной документации производителя анализаторов указаний на возможность применения сторонних реагентов и отсутствие данных по проведенным техническим и клиническим испытаниям свидетельствуют о невозможности совместной эксплуатации изделий разных производителей. Использование реагентов с отличным химическим составом или произведенных по отличной от оригинальной технологии, без надлежащего подтверждения изготовителем оборудования сохранения технических характеристик анализатора ХЫ, точности, воспроизводимости и возможности применения во всем указанном в руководстве по эксплуатации диапазоне исследований, не может гарантировать правильность результатов. Использование реагентов сторонних организаций не подтвержденных изготовителем анализатора Вучтех может негативно сказаться на результатах исследований пациентов и подвергнуть их здоровье риску.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применил позицию КТРУ 21.20.23.110-00000016, в связи тем что данная позиция до обновления и в текущей редакции каталога имеет характеристику обязательную для применения «Объема реагента &gt; 5000 и &lt; 20000 Кубический сантиметр;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миллилитр», то есть по КТРУ может быть предложен товар в диапазоне от 5 до 20 литров.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Для заказчика данный параметр является существенным, поскольку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руководстве пользователя анализаторов XX 1000, ХК-550, ХК-350, согласно которому заказчик обязан проводить работу на анализаторах, указаны фасовки 10 и 20 литров (приложение № 2 пункт 5.18.1, приложение № 3 пункт 7.2 приложения № 5, приложение № 6, приложение № 7). Это означает, что участник закупки может предложить реагенты объемом 10 или 20 литров. Вместе с тем, заказчику требуются именно 20 литровые канистры, что продиктовано необходимостью, ввиду специфики применения поставляемого товара в лаборатории заказчика. В силу статьи 6 Закона о контрактной системе, к числу основных принципов контрактной системы относится принцип ответственности за результативность обеспечения государственных и муниципальных нужд и принцип эффективности осуществления закупки (эффективного использования источников финансирования).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день лаборатория выполняет от 500 до 1000 тестов (исследований), на которые расходуется от одной до двух двадцатилитровых канистры. Использование 10-литровых канистр приведет к тому, что они закончатся гораздо раньше, чем рассчитано, что приведет к остановке рабочего процесса.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Тюменского УФАС России отмечает, что заявителем не представлены документы и сведения, указывающие на нарушение заказчиком норм законодательства о контрактной системе, а также свидетельствующие о невозможности подачи заявки на участие в аукционе ввиду установления заказчиком вышеуказанных требований к закупаемому товару, не доказано и то, что установленные заказчиком требования к закупаемому товару привели к ограничению количества участников закупки, невозможности поставки товаров с характеристиками, установленными заказчиком.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указание заказчиком особых характеристик товара, которые отвечают его потребностям необходимы заказчику с учетом специфики использования такого товара, не может расцениваться как ограничение круга потенциальных участников закупки (Обзор судебной практики применения законодательства РФ о контрактной системе в сфере закупок товаров, работ, услуг для обеспечения государственных нужд, утв. Президиумом Верховного Суда Российской Федерации от 28.06.2017).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Потенциальный участник закупки не ограничен в выборе контрагентов, у которых он может приобретать товары, в том числе по характеристикам, необходимым заказчику. Действующее законодательство Российской Федерации не связывает понятие хозяйствующих субъектов, действующих на товарном рынке только с производителями товаров.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в описании объекта закупки характеристики товара обусловлены существующей потребностью медицинского учреждения и не направлены на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указанных обстоятельств, Комиссия Тюменского УФАС России считает, что заявителем в обоснование заявленных требований не представлены доказательства того, что извещение об осуществлении закупки на поставку медицинских изделий противоречит требованиям законодательства о контрактной системе, равно как и не доказано обстоятельство необоснованного ограничения прав и законных интересов заявителя со стороны заказчика при проведении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вышеназванного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руководствуясь пунктом 1 части 15 статьи 99, частью 8 статьи 106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жалобу ООО «Сигма-мед»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 настоящее решение может быть оспорено в арбитражном суде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4" w:bottom="1241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870" distL="0" distR="0" simplePos="0" relativeHeight="125829378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88900</wp:posOffset>
                </wp:positionV>
                <wp:extent cx="1874520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300000000000004pt;margin-top:7.pt;width:147.59999999999999pt;height:19.900000000000002pt;z-index:-125829375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9430" simplePos="0" relativeHeight="125829380" behindDoc="0" locked="0" layoutInCell="1" allowOverlap="1">
            <wp:simplePos x="0" y="0"/>
            <wp:positionH relativeFrom="page">
              <wp:posOffset>2733675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3197225</wp:posOffset>
                </wp:positionH>
                <wp:positionV relativeFrom="paragraph">
                  <wp:posOffset>564515</wp:posOffset>
                </wp:positionV>
                <wp:extent cx="127698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1.75pt;margin-top:44.450000000000003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3151505</wp:posOffset>
                </wp:positionH>
                <wp:positionV relativeFrom="paragraph">
                  <wp:posOffset>253365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8.15000000000001pt;margin-top:19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870" distL="0" distR="0" simplePos="0" relativeHeight="125829381" behindDoc="0" locked="0" layoutInCell="1" allowOverlap="1">
                <wp:simplePos x="0" y="0"/>
                <wp:positionH relativeFrom="page">
                  <wp:posOffset>4955540</wp:posOffset>
                </wp:positionH>
                <wp:positionV relativeFrom="paragraph">
                  <wp:posOffset>88900</wp:posOffset>
                </wp:positionV>
                <wp:extent cx="10058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Ю.Д. Верзун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90.19999999999999pt;margin-top:7.pt;width:79.200000000000003pt;height:19.900000000000002pt;z-index:-125829372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Ю.Д. Верзун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1717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Верзун Юрий Дмитриевич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49СС80692629ЕВ5А5С76А6Е2177ЕЭ556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09.10.2025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50" w:bottom="672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56870" distL="0" distR="0" simplePos="0" relativeHeight="125829383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76200</wp:posOffset>
                </wp:positionV>
                <wp:extent cx="134112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300000000000004pt;margin-top:6.pt;width:105.60000000000001pt;height:19.900000000000002pt;z-index:-125829370;mso-wrap-distance-left:0;mso-wrap-distance-top: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0335" distB="0" distL="0" distR="1789430" simplePos="0" relativeHeight="125829385" behindDoc="0" locked="0" layoutInCell="1" allowOverlap="1">
            <wp:simplePos x="0" y="0"/>
            <wp:positionH relativeFrom="page">
              <wp:posOffset>2721610</wp:posOffset>
            </wp:positionH>
            <wp:positionV relativeFrom="paragraph">
              <wp:posOffset>140335</wp:posOffset>
            </wp:positionV>
            <wp:extent cx="365760" cy="54864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3197225</wp:posOffset>
                </wp:positionH>
                <wp:positionV relativeFrom="paragraph">
                  <wp:posOffset>551815</wp:posOffset>
                </wp:positionV>
                <wp:extent cx="127698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1.75pt;margin-top:43.450000000000003pt;width:100.5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3151505</wp:posOffset>
                </wp:positionH>
                <wp:positionV relativeFrom="paragraph">
                  <wp:posOffset>238125</wp:posOffset>
                </wp:positionV>
                <wp:extent cx="1725295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8.15000000000001pt;margin-top:18.75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56870" distL="0" distR="0" simplePos="0" relativeHeight="125829386" behindDoc="0" locked="0" layoutInCell="1" allowOverlap="1">
                <wp:simplePos x="0" y="0"/>
                <wp:positionH relativeFrom="page">
                  <wp:posOffset>4955540</wp:posOffset>
                </wp:positionH>
                <wp:positionV relativeFrom="paragraph">
                  <wp:posOffset>76200</wp:posOffset>
                </wp:positionV>
                <wp:extent cx="99060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И.Г. Назаров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90.19999999999999pt;margin-top:6.pt;width:78.pt;height:19.900000000000002pt;z-index:-125829367;mso-wrap-distance-left:0;mso-wrap-distance-top: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И.Г. Назаров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1717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Назаров Игорь Геннадьевич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00ВВВ6АЕА26С7А5С08О93ВС1Е66Е08164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09.11.2023 по 01.02.2025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75" w:line="240" w:lineRule="auto"/>
        <w:ind w:left="0" w:right="0" w:firstLine="0"/>
        <w:jc w:val="left"/>
      </w:pPr>
      <w:r>
        <w:drawing>
          <wp:anchor distT="0" distB="0" distL="63500" distR="1870710" simplePos="0" relativeHeight="125829388" behindDoc="0" locked="0" layoutInCell="1" allowOverlap="1">
            <wp:simplePos x="0" y="0"/>
            <wp:positionH relativeFrom="page">
              <wp:posOffset>2757805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3150870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8.09999999999999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В.В. Романенко</w:t>
      </w:r>
    </w:p>
    <w:p>
      <w:pPr>
        <w:pStyle w:val="Style2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Романенко Вадим Владимирович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ООЕОЕ71ВВЕ2А7СВОС571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00Е0С8В2Е425Е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09.11.2023 по 01.02.2025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8.70000000000005pt;width:45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5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A"/>
      <w:sz w:val="17"/>
      <w:szCs w:val="17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A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 (6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8">
    <w:name w:val="Основной текст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20" w:line="29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A"/>
      <w:sz w:val="17"/>
      <w:szCs w:val="17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220" w:line="24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A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 (6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