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139700" distB="63500" distL="114300" distR="114300" simplePos="0" relativeHeight="125829378" behindDoc="0" locked="0" layoutInCell="1" allowOverlap="1">
            <wp:simplePos x="0" y="0"/>
            <wp:positionH relativeFrom="page">
              <wp:posOffset>2049145</wp:posOffset>
            </wp:positionH>
            <wp:positionV relativeFrom="paragraph">
              <wp:posOffset>175895</wp:posOffset>
            </wp:positionV>
            <wp:extent cx="560705" cy="658495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93700" distB="698500" distL="114300" distR="308610" simplePos="0" relativeHeight="125829379" behindDoc="0" locked="0" layoutInCell="1" allowOverlap="1">
                <wp:simplePos x="0" y="0"/>
                <wp:positionH relativeFrom="page">
                  <wp:posOffset>773430</wp:posOffset>
                </wp:positionH>
                <wp:positionV relativeFrom="paragraph">
                  <wp:posOffset>3113405</wp:posOffset>
                </wp:positionV>
                <wp:extent cx="1417320" cy="175895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7320" cy="175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685" w:val="left"/>
                                <w:tab w:leader="underscore" w:pos="217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1C194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ru-RU" w:eastAsia="ru-RU" w:bidi="ru-RU"/>
                              </w:rPr>
                              <w:t>На№</w:t>
                            </w:r>
                            <w:r>
                              <w:rPr>
                                <w:color w:val="464664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</w:t>
                              <w:tab/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0.899999999999999pt;margin-top:245.15000000000001pt;width:111.60000000000001pt;height:13.85pt;z-index:-125829374;mso-wrap-distance-left:9.pt;mso-wrap-distance-top:31.pt;mso-wrap-distance-right:24.300000000000001pt;mso-wrap-distance-bottom:55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685" w:val="left"/>
                          <w:tab w:leader="underscore" w:pos="2171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1C194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ru-RU" w:eastAsia="ru-RU" w:bidi="ru-RU"/>
                        </w:rPr>
                        <w:t>На№</w:t>
                      </w:r>
                      <w:r>
                        <w:rPr>
                          <w:color w:val="464664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</w:t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6240" distB="711835" distL="1536065" distR="114300" simplePos="0" relativeHeight="125829381" behindDoc="0" locked="0" layoutInCell="1" allowOverlap="1">
                <wp:simplePos x="0" y="0"/>
                <wp:positionH relativeFrom="page">
                  <wp:posOffset>2195195</wp:posOffset>
                </wp:positionH>
                <wp:positionV relativeFrom="paragraph">
                  <wp:posOffset>3115945</wp:posOffset>
                </wp:positionV>
                <wp:extent cx="189865" cy="16002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865" cy="1600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1C194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ru-RU" w:eastAsia="ru-RU" w:bidi="ru-RU"/>
                              </w:rPr>
                              <w:t>от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72.84999999999999pt;margin-top:245.34999999999999pt;width:14.950000000000001pt;height:12.6pt;z-index:-125829372;mso-wrap-distance-left:120.95pt;mso-wrap-distance-top:31.199999999999999pt;mso-wrap-distance-right:9.pt;mso-wrap-distance-bottom:56.0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1C194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ru-RU" w:eastAsia="ru-RU" w:bidi="ru-RU"/>
                        </w:rPr>
                        <w:t>от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71" w:lineRule="auto"/>
        <w:ind w:left="0" w:right="0" w:firstLine="0"/>
        <w:jc w:val="center"/>
      </w:pPr>
      <w:r>
        <w:rPr>
          <w:b/>
          <w:bCs/>
          <w:color w:val="1B187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Архангельской области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ул. К. Либкнехха, 2, г. </w:t>
      </w:r>
      <w:r>
        <w:rPr>
          <w:color w:val="4646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Архангельск,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163000</w:t>
        <w:br/>
        <w:t xml:space="preserve">Тел.: (8182) 20-73-21, </w:t>
      </w:r>
      <w:r>
        <w:rPr>
          <w:color w:val="4646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фан.: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(8182)21-54-45</w:t>
        <w:br/>
        <w:t xml:space="preserve">е-таП: </w:t>
      </w:r>
      <w:r>
        <w:rPr>
          <w:color w:val="46466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1о29'ДТа5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§оу.ги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Дело № 8мз-25 029/06/49-28/2025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Заказчик 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54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МКУ «Управление образования Администрации Северодвинска»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164507, Архангельская область, г. Северодвинск, ул.Ломоносова, д. № 41а Е-таИ: §огЬипоуа@еди.зеуегодУ1П8к.ги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Уполномоченный орган (аукционная комиссия):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52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Администрация муниципального образования «Северодвинск» в лице Управления муниципального заказа Администрации Северодвинска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164501, Архангельская область, город Северодвинск, ул. Плюснина, д. № 7 Е-шаП: аис1юп_иг2@ас1т.зеуегобутзк.ги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Оператор электронной площадки: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121151, г. Москва, набережная Тараса Шевченко, д. 23А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rPr>
          <w:sz w:val="20"/>
          <w:szCs w:val="20"/>
        </w:rPr>
        <w:sectPr>
          <w:headerReference w:type="default" r:id="rId7"/>
          <w:headerReference w:type="even" r:id="rId8"/>
          <w:headerReference w:type="first" r:id="rId9"/>
          <w:footnotePr>
            <w:pos w:val="pageBottom"/>
            <w:numFmt w:val="decimal"/>
            <w:numRestart w:val="continuous"/>
          </w:footnotePr>
          <w:pgSz w:w="11900" w:h="16840"/>
          <w:pgMar w:top="808" w:right="800" w:bottom="468" w:left="1275" w:header="0" w:footer="3" w:gutter="0"/>
          <w:pgNumType w:start="1"/>
          <w:cols w:num="2" w:space="720" w:equalWidth="0">
            <w:col w:w="4774" w:space="792"/>
            <w:col w:w="4259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Е-таП: ко^г18-1епс1ег.ги</w:t>
      </w:r>
    </w:p>
    <w:p>
      <w:pPr>
        <w:widowControl w:val="0"/>
        <w:spacing w:line="85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19" w:right="0" w:bottom="44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74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Заявитель: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74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Индивидуальный предприниматель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74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Кожин Альберт Алексеевич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5740" w:right="0" w:firstLine="2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350000, Краснодарский Край, г.о. Город Краснодар, г Краснодар, ул. им. Ленина, дом 65, помещение 37/1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64" w:lineRule="auto"/>
        <w:ind w:left="5740" w:right="0" w:firstLine="2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Е-таП: 1пГо@ктк-тес1.ги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100" w:line="252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18"/>
        <w:keepNext/>
        <w:keepLines/>
        <w:widowControl w:val="0"/>
        <w:shd w:val="clear" w:color="auto" w:fill="auto"/>
        <w:tabs>
          <w:tab w:pos="8158" w:val="left"/>
        </w:tabs>
        <w:bidi w:val="0"/>
        <w:spacing w:before="0" w:after="180" w:line="252" w:lineRule="auto"/>
        <w:ind w:left="0" w:right="0" w:firstLine="260"/>
        <w:jc w:val="both"/>
      </w:pPr>
      <w:bookmarkStart w:id="2" w:name="bookmark2"/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27 января 2025 года</w:t>
        <w:tab/>
        <w:t>г. Архангельск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26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Письмом ФАС России от 03.04.2020 № ИА/27903/20 "О 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 Комиссия Управления Федеральной антимонопольной службы по Архангельской области по контролю в сфере закупок (далее - Комиссия Архангельского УФАС России)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52" w:lineRule="auto"/>
        <w:ind w:left="0" w:right="0" w:firstLine="84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90" w:lineRule="auto"/>
        <w:ind w:left="2500" w:right="0" w:hanging="2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Малышева О.С. Заместитель руководителя Управления - начальник отдела контроля закупок;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52" w:lineRule="auto"/>
        <w:ind w:left="0" w:right="0" w:firstLine="84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Вижевцева С.Н. Ведущий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Пахатина Ю.В.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2" w:lineRule="auto"/>
        <w:ind w:left="2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пункта 1 части 15 статьи 99, статьи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8791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&lt;“■&lt;'г. А| </w:t>
      </w:r>
      <w:r>
        <w:rPr>
          <w:color w:val="71738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слм:к.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пл. Лг ■ • </w:t>
      </w:r>
      <w:r>
        <w:rPr>
          <w:color w:val="4B4DA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д.4, оф.2;И </w:t>
      </w:r>
      <w:r>
        <w:rPr>
          <w:color w:val="AAA7B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7E86A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?ы. </w:t>
      </w:r>
      <w:r>
        <w:rPr>
          <w:color w:val="71738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’-Л: здх.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30. тир 10000 [0 </w:t>
      </w:r>
      <w:r>
        <w:rPr>
          <w:color w:val="717383"/>
          <w:spacing w:val="0"/>
          <w:w w:val="100"/>
          <w:position w:val="0"/>
          <w:shd w:val="clear" w:color="auto" w:fill="auto"/>
          <w:lang w:val="ru-RU" w:eastAsia="ru-RU" w:bidi="ru-RU"/>
        </w:rPr>
        <w:t>П-2032</w:t>
        <w:tab/>
      </w:r>
      <w:r>
        <w:rPr>
          <w:b w:val="0"/>
          <w:bCs w:val="0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0 4 6 4 7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I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/>
        <w:ind w:left="110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 от: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10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Заявителя: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Тарасовой Ю.В. (доверенность от 27.01.2025); Кожина А.А. (ЕГРЮЛ);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/>
        <w:ind w:left="110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Уполномоченного органа: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Лопатиной Е.А. (доверенность от 26.12.2024);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59" w:lineRule="auto"/>
        <w:ind w:left="464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УСТАНОВИЛА: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38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21 января 2025 года в Архангельское УФАС России - уполномоченный федеральный орган исполнительной власти, осуществляющий контроль в сфере закупок, поступила жалоба ИП Кожина Альберта Алексеевича (далее - Заявитель) на действия аукционной комиссии, созданной Уполномоченным органом - Администрацией муниципального образования «Северодвинск» в лице Управления муниципального заказа Администрации Северодвинска (далее - Уполномоченный орган, аукционная комиссия) при проведении электронного аукциона на право заключения муниципального контракта на оказание услуг по уборке помещений, расположенных в здании по адресу: г. Северодвинск, улица Ломоносова, дом 41а (извещение №0124300012724000337).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59" w:lineRule="auto"/>
        <w:ind w:left="1100" w:right="0" w:firstLine="0"/>
        <w:jc w:val="both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Содержание жалобы: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38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Обжалуются действия аукционной комиссии, созданной Уполномоченным органом, в связи с отклонением заявки ИП Кожина Альберта Алексеевича по результатам рассмотрения заявок на участие в электронном аукционе.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38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не согласен с доводами Заявителя по основаниям, изложенным в объяснении по жалобе от 24.01.2025 № 29-01-03/98.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38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38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28.12.2024 Уполномоченным органом на официальном сайте единой информационной системы в сфере закупок в сети Интернет йМрУ/хакирктдоу.ги размещено извещение №0124300012724000337 о проведении электронного аукциона на право заключения муниципального контракта на оказание услуг по уборке помещений, расположенных в здании по адресу: г. Северодвинск, улица Ломоносова, дом 41а (далее - Извещение).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1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муниципального контракта - 1 691 187,24 рублей. Оператор электронной площадки - ООО «РТС-тендер».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38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протоколом подведения итогов определения поставщика от 20.01.2025 на участие в электронном аукционе было подано 3 заявки, которым были присвоены идентификационные номера 118044640, 118054816, 118045343.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38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изучения материалов дела установлено, что заявка Заявителя была зарегистрирована под номером 118044640.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38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от 20.01.2025 заявка № 118044640 отклонена «по основаниям предусмотренным п. 3 ч. 12 ст. 48 Федерального закона № 44-ФЗ отклонить заявку, в связи с несоответствием участника закупки требованиям, установленным в извещении об осуществлении закупки в соответствии с ч. 2 ст. 31 Федерального закона № 44-ФЗ. Участник закупки должен соответствовать дополнительным требованиям, установленным позицией 36 раздела VI приложения № 1 к постановлению Правительства РФ от 29.12.2021 № 2571 (Услуги по уборке зданий, сооружений, прилегающих к ним территорий). Информация и документы, подтверждающие соответствие участников закупки дополнительным требованиям, направляются участниками закупки в соответствии с требованиями Федерального Закона от 05.04.2013 № 44-ФЗ в полном объеме и со всеми приложениями. Участник в подтверждение дополнительных требований, приложил документы не в полном объеме (нет документов, подтверждающих изменение и расторжение контракта)».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380" w:right="0" w:firstLine="7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19" w:right="763" w:bottom="447" w:left="1133" w:header="0" w:footer="3" w:gutter="0"/>
          <w:cols w:space="720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Заявитель в своей жалобе указывает, что аукционная комиссия неправомерно отклонила заявку ИП Кожина Альберта Алексеевича, так как в соответствии с условиями Извещения ИП Кожин Альберт Алексеевич пердоставил документы в подтверждение дополнительных требований установленных в соответствии с Постановлением Правительства РФ от 29.12.2021 №2571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38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- Постановление № 2571).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24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2 статьи 31 ФЗ «О контрактной системе»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 1) финансовых ресурсов для исполнения контракта; 2) на праве собственности или ином законном основании оборудования и других материальных ресурсов для исполнения контракта; 3) опыта работы, связанного с предметом контракта, и деловой репутации; 4) 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24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части 4 статьи 31 ФЗ «О контрактной системе» в случае установления Правительством Российской Федерации в соответствии с частью 2 статьи 31 ФЗ «О контрактной системе»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24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5 статьи 31 ФЗ «О контрактной системе» информация об установленных требованиях в соответствии с частями 1, 1.1, 2 и 2.1 статьи 31 ФЗ «О контрактной системе» указывается заказчиком в извещении об осуществлении закупки и документации о закупке (в случае, если ФЗ «О контрактной системе» предусмотрена документация о закупке).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24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12 части 1 статьи 42 ФЗ «О контрактной системе»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пунктом 1 части 1 статьи 31 ФЗ «О контрактной системе», требования, предъявляемые к участникам закупки в соответствии с частями 2 и 2.1 (при наличии таких требований) статьи 31 ФЗ «О контрактной системе»,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ФЗ «О контрактной системе» (при наличии такого требования).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24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1 Постановления № 2571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требованиям подтверждается информацией и документами, предусмотренными приложением к данному постановлению.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24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позиции 36 разделаУ! приложения к Постановлению № 2571 к участникам закупки при оказании услуг по уборке зданий, сооружений, прилегающих к ним территорий предъявляется требование о наличии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24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исполненный договор;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акт приемки оказанных услуг, подтверждающий цену оказанных услуг.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24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 проведении аукциона, объектом закупки является оказание услуг по уборке помещений, расположенных в здании по адресу: г. Северодвинск, улица Ломоносова, дом 4 с начальной максимальной ценой контракта 1 691 187,24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24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Извещении установлено следующее дополнительное требование к участникам закупки в соответствии с частью 2 статьи 31 ФЗ «О контрактной системе»: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24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«Требования в соответствии с позицией 36 раздела VI приложения к НП РФ от 29.12.2021 №2571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опыта испотнения участником закупки договора, предусматривающего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240" w:right="0" w:firstLine="9180"/>
        <w:jc w:val="both"/>
      </w:pP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 xml:space="preserve">7)4/5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оказание услуг по уборке зданий, сооружений, прилегающих к ним территорий. Цена оказанных услуг по договору должна составлять не менее 20 процентов от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1) исполненный договор; 2) акт приемки оказанных услуг, подтверждающий цену оказанных услуг».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24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3 части 6 статьи 43 ФЗ «О контрактной системе» определено, что при проведении электронных процедур документы, подтверждающие соответствие участника закупки дополнительным требованиям, установленным в соответствии с частью 2 или 2.1 (при наличии таких требований) статьи 31 указанного Федерального закона, и предусмотренные подпунктом «н» пункта 1 части 1 данной статьи, не включаются участником закупки в заявку на участие в закупке.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Такие документы в случаях, предусмотренных указанным Федеральным законом,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24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пункта 4 части 4 статьи 49 ФЗ «О контрактной системе» не позднее одного часа с момента завершения процедуры подачи ценовых предложений оператор элект ронной площадки направляет заказчику протокол, предусмотренный пунктом 2 указанной части, заявки на участие в закупке, а также предусмотренные пунктом 2 и пунктом 3 части 6 статьи 43 указанного Федерального закона информацию и документы участников закупки, подавших такие заявки.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24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абзацами 8 и 9 подпункта "б" пункта 3 Постановления № 2571 определено, что предусмотренные приложением в графе "Информация и документы, подтверждающие соответствие участников закупки дополнительным требованиям" информация и документы направляются участниками закупки в соответствии с требованиями Закона о контрактной системе в полном объеме и со всеми приложениями, за исключением случаев, предусмотренных абзацами шестым и седьмым подпункта "г" настоящего пункта. При проведении предусмотренных Законом о контрактной системе электронных процедур, закрытых электронных процедур такие информация и документы направляются в форме электронных документов или в форме электронных образов бумажных документов. При проведении закрытого конкурса, закрытого аукциона направляются документы или заверенные участником закупки их копии; а также если предусмотренные приложением в графе "Информация и документы, подтверждающие соответствие участников закупки дополнительным требованиям" документы и информация о таких документах содержатся в открытых и общедоступных государственных реестрах, размещенных в информационно-телекоммуникационной сети "Интернет", в том числе ведение которых осуществляется в единой информационной системе в сфере закупок с размещением на официальном сайте единой информационной системы в информационно- телекоммуникационной сети "Интернет" таких документов, вместо направления таких документов участник закупки вправе направить в соответствии с ФЗ «О контрактной системе» номер реестровой записи из соответствующего реестра.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24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Архангельского УФАС России установлено, что оператором электронной площадки в качестве подтверждения соответствия Заявителя дополнительным требованиям направлены следующие документы: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8" w:val="left"/>
        </w:tabs>
        <w:bidi w:val="0"/>
        <w:spacing w:before="0" w:after="0"/>
        <w:ind w:left="24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исполненный договор: «32-ГК Оказание услуг по уборке помещений ГБУЗ АО «Коряжемская городская больница»;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8" w:val="left"/>
        </w:tabs>
        <w:bidi w:val="0"/>
        <w:spacing w:before="0" w:after="0"/>
        <w:ind w:left="24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акты о приемки оказанных услуг, подтверждающих цену оказанных услуг: «Акты выполненных работ с 04.2020 по 11.2022».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24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Уполномоченного органа в заседании Комиссии Архангельского УФАС России пояснил, что аукционная комиссия при рассмотрении заявки с идентификационным номером 118044640, изучив информацию, размещенную в реестре контрактов, по договору представленного Заявителем, выяснила, что при исполнении контракта было заключено два дополнительных соглашения и соглашение о расторжении. Указанных документов, а также ссылки на реестр контрактов в рамках подтверждения соответствия дополнительным требования участник с идентификационным номером 118044640 не предоставил.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24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Абзацем 10 подпункта "б" пункта 3 Постановления № 2571 определено, что в случае наличия противоречий между информацией, содержащейся в единой информационной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системе, и информацией, содержащейся в документах, направляемых участниками закупки и предусмотренных приложением в графе "Информация и документы, подтверждающие соответствие участников закупки дополнительным требованиям", приоритет имеет информация, содержащаяся в единой информационной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Архангельского УФАС России отмечает, что дополнительные соглашения являются неотъемлемой частью договора, порядок изменения и расторжения договора регулируется главой 29 Гражданского кодекса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Архангельского УФАС России приходит к выводу о несоответствии представленного договора требованиям извещения, установленным на основании пункту 36 раздела VI приложения к Постановлению № 2571.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Подпунктом "а" пункта 1 части 5 статьи 49 ФЗ «О контрактной системе» предусмотрено, что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1-8 части 12 статьи 48 указанного Федерального 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3 части 12 статьи 48 ФЗ «О контрактной системе» при рассмотрении вторых частей заявок на участие в закупке соответствующая заявка подлежит отклонению в случаях несоответствия участника закупки требованиям, установленным в извещении об осуществлении закупки в соответствии с частью 1 статьи 31 указанного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указанного Федерального 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аукционная комиссия, созданная Уполномоченным органом, правомерно отклонила заявку Заявителя.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проведении внеплановой проверки на основании пункта 1 части 15 статьи 99 ФЗ «О контрактной системе» данной закупки нарушений законодательства РФ о контрактной системе не выявлено.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80" w:line="259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РЕШИЛА:</w:t>
      </w:r>
      <w:bookmarkEnd w:id="1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7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Признагь жалобу Индивидуального предпринимателя Кожина Альберта Алексеевича необоснованной.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mc:AlternateContent>
          <mc:Choice Requires="wps">
            <w:drawing>
              <wp:anchor distT="0" distB="336550" distL="114300" distR="114300" simplePos="0" relativeHeight="125829383" behindDoc="0" locked="0" layoutInCell="1" allowOverlap="1">
                <wp:simplePos x="0" y="0"/>
                <wp:positionH relativeFrom="page">
                  <wp:posOffset>852170</wp:posOffset>
                </wp:positionH>
                <wp:positionV relativeFrom="margin">
                  <wp:posOffset>8017510</wp:posOffset>
                </wp:positionV>
                <wp:extent cx="1689100" cy="18034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0" cy="1803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67.099999999999994pt;margin-top:631.30000000000007pt;width:133.pt;height:14.200000000000001pt;z-index:-125829370;mso-wrap-distance-left:9.pt;mso-wrap-distance-right:9.pt;mso-wrap-distance-bottom:26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42900" distB="0" distL="116840" distR="582295" simplePos="0" relativeHeight="125829385" behindDoc="0" locked="0" layoutInCell="1" allowOverlap="1">
                <wp:simplePos x="0" y="0"/>
                <wp:positionH relativeFrom="page">
                  <wp:posOffset>854710</wp:posOffset>
                </wp:positionH>
                <wp:positionV relativeFrom="margin">
                  <wp:posOffset>8360410</wp:posOffset>
                </wp:positionV>
                <wp:extent cx="1218565" cy="1739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856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67.299999999999997pt;margin-top:658.30000000000007pt;width:95.950000000000003pt;height:13.700000000000001pt;z-index:-125829368;mso-wrap-distance-left:9.2000000000000011pt;mso-wrap-distance-top:27.pt;mso-wrap-distance-right:45.85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0" distB="0" distL="0" distR="754380" simplePos="0" relativeHeight="125829387" behindDoc="0" locked="0" layoutInCell="1" allowOverlap="1">
            <wp:simplePos x="0" y="0"/>
            <wp:positionH relativeFrom="page">
              <wp:posOffset>3265805</wp:posOffset>
            </wp:positionH>
            <wp:positionV relativeFrom="margin">
              <wp:posOffset>7498715</wp:posOffset>
            </wp:positionV>
            <wp:extent cx="2901950" cy="1432560"/>
            <wp:wrapTight wrapText="left">
              <wp:wrapPolygon>
                <wp:start x="21260" y="0"/>
                <wp:lineTo x="21600" y="0"/>
                <wp:lineTo x="21600" y="7544"/>
                <wp:lineTo x="18760" y="7544"/>
                <wp:lineTo x="18760" y="18431"/>
                <wp:lineTo x="13181" y="18431"/>
                <wp:lineTo x="13181" y="21600"/>
                <wp:lineTo x="8742" y="21600"/>
                <wp:lineTo x="8742" y="18431"/>
                <wp:lineTo x="0" y="18431"/>
                <wp:lineTo x="0" y="138"/>
                <wp:lineTo x="21260" y="138"/>
                <wp:lineTo x="21260" y="0"/>
              </wp:wrapPolygon>
            </wp:wrapTight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2901950" cy="14325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5766435</wp:posOffset>
                </wp:positionH>
                <wp:positionV relativeFrom="margin">
                  <wp:posOffset>8008620</wp:posOffset>
                </wp:positionV>
                <wp:extent cx="1156970" cy="17399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69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О.С. Малышева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54.05000000000001pt;margin-top:630.60000000000002pt;width:91.100000000000009pt;height:13.700000000000001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О.С. Малышева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5780405</wp:posOffset>
                </wp:positionH>
                <wp:positionV relativeFrom="margin">
                  <wp:posOffset>8351520</wp:posOffset>
                </wp:positionV>
                <wp:extent cx="1143000" cy="17399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300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С.Н. Вижевцева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55.15000000000003pt;margin-top:657.60000000000002pt;width:90.pt;height:13.700000000000001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С.Н. Вижевцева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5761990</wp:posOffset>
                </wp:positionH>
                <wp:positionV relativeFrom="margin">
                  <wp:posOffset>8696325</wp:posOffset>
                </wp:positionV>
                <wp:extent cx="1127125" cy="17399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712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Ю.В. Пахатина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53.69999999999999pt;margin-top:684.75pt;width:88.75pt;height:13.700000000000001pt;z-index:25165773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Ю.В. Пахатина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Примечание.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9 статьи 106 ФЗ «О контрактной системе» решение, принятое по результатам рассмотрения жалобы по существу, может быть обжаловано в/суд^бном порядке в течение месяцев со дня его принятия.</w:t>
      </w:r>
    </w:p>
    <w:sectPr>
      <w:headerReference w:type="default" r:id="rId12"/>
      <w:headerReference w:type="even" r:id="rId13"/>
      <w:headerReference w:type="first" r:id="rId14"/>
      <w:footnotePr>
        <w:pos w:val="pageBottom"/>
        <w:numFmt w:val="decimal"/>
        <w:numRestart w:val="continuous"/>
      </w:footnotePr>
      <w:pgSz w:w="11900" w:h="16840"/>
      <w:pgMar w:top="719" w:right="763" w:bottom="447" w:left="1133" w:header="0" w:footer="3" w:gutter="0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6818630</wp:posOffset>
              </wp:positionH>
              <wp:positionV relativeFrom="page">
                <wp:posOffset>283210</wp:posOffset>
              </wp:positionV>
              <wp:extent cx="217170" cy="10985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71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>12/5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36.89999999999998pt;margin-top:22.300000000000001pt;width:17.10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>12/5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986790</wp:posOffset>
              </wp:positionH>
              <wp:positionV relativeFrom="page">
                <wp:posOffset>434975</wp:posOffset>
              </wp:positionV>
              <wp:extent cx="6076315" cy="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63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7.700000000000003pt;margin-top:34.25pt;width:478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6818630</wp:posOffset>
              </wp:positionH>
              <wp:positionV relativeFrom="page">
                <wp:posOffset>283210</wp:posOffset>
              </wp:positionV>
              <wp:extent cx="217170" cy="10985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71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>12/5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36.89999999999998pt;margin-top:22.300000000000001pt;width:17.10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>12/5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986790</wp:posOffset>
              </wp:positionH>
              <wp:positionV relativeFrom="page">
                <wp:posOffset>434975</wp:posOffset>
              </wp:positionV>
              <wp:extent cx="6076315" cy="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63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7.700000000000003pt;margin-top:34.25pt;width:478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6697345</wp:posOffset>
              </wp:positionH>
              <wp:positionV relativeFrom="page">
                <wp:posOffset>287655</wp:posOffset>
              </wp:positionV>
              <wp:extent cx="219710" cy="10541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971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>35/5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527.35000000000002pt;margin-top:22.650000000000002pt;width:17.300000000000001pt;height:8.3000000000000007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>35/5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863600</wp:posOffset>
              </wp:positionH>
              <wp:positionV relativeFrom="page">
                <wp:posOffset>417830</wp:posOffset>
              </wp:positionV>
              <wp:extent cx="6078220" cy="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822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pt;margin-top:32.899999999999999pt;width:478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6729095</wp:posOffset>
              </wp:positionH>
              <wp:positionV relativeFrom="page">
                <wp:posOffset>285115</wp:posOffset>
              </wp:positionV>
              <wp:extent cx="219710" cy="107315"/>
              <wp:wrapNone/>
              <wp:docPr id="28" name="Shape 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9710" cy="1073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>дЗ/5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position:absolute;margin-left:529.85000000000002pt;margin-top:22.449999999999999pt;width:17.300000000000001pt;height:8.4499999999999993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>дЗ/5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895350</wp:posOffset>
              </wp:positionH>
              <wp:positionV relativeFrom="page">
                <wp:posOffset>416560</wp:posOffset>
              </wp:positionV>
              <wp:extent cx="6076315" cy="0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63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5pt;margin-top:32.799999999999997pt;width:478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B1870"/>
      <w:sz w:val="26"/>
      <w:szCs w:val="26"/>
      <w:u w:val="none"/>
    </w:rPr>
  </w:style>
  <w:style w:type="character" w:customStyle="1" w:styleId="CharStyle11">
    <w:name w:val="Основной текст (3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940"/>
      <w:sz w:val="17"/>
      <w:szCs w:val="17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CharStyle22">
    <w:name w:val="Основной текст (4)_"/>
    <w:basedOn w:val="DefaultParagraphFont"/>
    <w:link w:val="Styl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4664"/>
      <w:sz w:val="9"/>
      <w:szCs w:val="9"/>
      <w:u w:val="none"/>
    </w:rPr>
  </w:style>
  <w:style w:type="character" w:customStyle="1" w:styleId="CharStyle30">
    <w:name w:val="Колонтитул (2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6">
    <w:name w:val="Основной текст (2)_"/>
    <w:basedOn w:val="DefaultParagraphFont"/>
    <w:link w:val="Style3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  <w:spacing w:after="32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B1870"/>
      <w:sz w:val="26"/>
      <w:szCs w:val="26"/>
      <w:u w:val="none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940"/>
      <w:sz w:val="17"/>
      <w:szCs w:val="17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50" w:line="257" w:lineRule="auto"/>
      <w:ind w:left="55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paragraph" w:customStyle="1" w:styleId="Style21">
    <w:name w:val="Основной текст (4)"/>
    <w:basedOn w:val="Normal"/>
    <w:link w:val="CharStyle22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4664"/>
      <w:sz w:val="9"/>
      <w:szCs w:val="9"/>
      <w:u w:val="none"/>
    </w:rPr>
  </w:style>
  <w:style w:type="paragraph" w:customStyle="1" w:styleId="Style29">
    <w:name w:val="Колонтитул (2)"/>
    <w:basedOn w:val="Normal"/>
    <w:link w:val="CharStyle3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35">
    <w:name w:val="Основной текст (2)"/>
    <w:basedOn w:val="Normal"/>
    <w:link w:val="CharStyle36"/>
    <w:pPr>
      <w:widowControl w:val="0"/>
      <w:shd w:val="clear" w:color="auto" w:fill="auto"/>
      <w:spacing w:after="280" w:line="259" w:lineRule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image" Target="media/image2.png"/><Relationship Id="rId11" Type="http://schemas.openxmlformats.org/officeDocument/2006/relationships/image" Target="media/image2.png" TargetMode="External"/><Relationship Id="rId12" Type="http://schemas.openxmlformats.org/officeDocument/2006/relationships/header" Target="header4.xml"/><Relationship Id="rId13" Type="http://schemas.openxmlformats.org/officeDocument/2006/relationships/header" Target="header5.xml"/><Relationship Id="rId14" Type="http://schemas.openxmlformats.org/officeDocument/2006/relationships/header" Target="header6.xml"/></Relationships>
</file>