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67000" distL="1193165" distR="1138555" simplePos="0" relativeHeight="125829378" behindDoc="0" locked="0" layoutInCell="1" allowOverlap="1">
            <wp:simplePos x="0" y="0"/>
            <wp:positionH relativeFrom="page">
              <wp:posOffset>1783080</wp:posOffset>
            </wp:positionH>
            <wp:positionV relativeFrom="paragraph">
              <wp:posOffset>12700</wp:posOffset>
            </wp:positionV>
            <wp:extent cx="54229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2290" cy="615950"/>
                    </a:xfrm>
                    <a:prstGeom prst="rect"/>
                  </pic:spPr>
                </pic:pic>
              </a:graphicData>
            </a:graphic>
          </wp:anchor>
        </w:drawing>
      </w:r>
      <w:r>
        <mc:AlternateContent>
          <mc:Choice Requires="wps">
            <w:drawing>
              <wp:anchor distT="719455" distB="826135" distL="227330" distR="220980" simplePos="0" relativeHeight="125829379" behindDoc="0" locked="0" layoutInCell="1" allowOverlap="1">
                <wp:simplePos x="0" y="0"/>
                <wp:positionH relativeFrom="page">
                  <wp:posOffset>817245</wp:posOffset>
                </wp:positionH>
                <wp:positionV relativeFrom="paragraph">
                  <wp:posOffset>732155</wp:posOffset>
                </wp:positionV>
                <wp:extent cx="2423160" cy="1737360"/>
                <wp:wrapSquare wrapText="right"/>
                <wp:docPr id="3" name="Shape 3"/>
                <a:graphic xmlns:a="http://schemas.openxmlformats.org/drawingml/2006/main">
                  <a:graphicData uri="http://schemas.microsoft.com/office/word/2010/wordprocessingShape">
                    <wps:wsp>
                      <wps:cNvSpPr txBox="1"/>
                      <wps:spPr>
                        <a:xfrm>
                          <a:ext cx="2423160" cy="1737360"/>
                        </a:xfrm>
                        <a:prstGeom prst="rect"/>
                        <a:noFill/>
                      </wps:spPr>
                      <wps:txbx>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line="254" w:lineRule="auto"/>
                              <w:ind w:left="0" w:right="0" w:firstLine="0"/>
                              <w:jc w:val="center"/>
                            </w:pPr>
                            <w:r>
                              <w:rPr>
                                <w:b/>
                                <w:bCs/>
                                <w:spacing w:val="0"/>
                                <w:w w:val="100"/>
                                <w:position w:val="0"/>
                                <w:shd w:val="clear" w:color="auto" w:fill="auto"/>
                                <w:lang w:val="ru-RU" w:eastAsia="ru-RU" w:bidi="ru-RU"/>
                              </w:rPr>
                              <w:t>УПРАВЛЕНИЕ</w:t>
                              <w:br/>
                              <w:t>Федеральной антимонопольной службы</w:t>
                              <w:br/>
                              <w:t>по Саратовской области</w:t>
                            </w:r>
                          </w:p>
                          <w:p>
                            <w:pPr>
                              <w:pStyle w:val="Style4"/>
                              <w:keepNext w:val="0"/>
                              <w:keepLines w:val="0"/>
                              <w:widowControl w:val="0"/>
                              <w:shd w:val="clear" w:color="auto" w:fill="auto"/>
                              <w:bidi w:val="0"/>
                              <w:spacing w:before="0" w:after="220" w:line="240" w:lineRule="auto"/>
                              <w:ind w:left="0" w:right="0" w:firstLine="0"/>
                              <w:jc w:val="center"/>
                            </w:pPr>
                            <w:r>
                              <w:rPr>
                                <w:spacing w:val="0"/>
                                <w:w w:val="100"/>
                                <w:position w:val="0"/>
                                <w:shd w:val="clear" w:color="auto" w:fill="auto"/>
                                <w:lang w:val="ru-RU" w:eastAsia="ru-RU" w:bidi="ru-RU"/>
                              </w:rPr>
                              <w:t>ул. Вольская, 81, г. Саратов, 410012</w:t>
                              <w:br/>
                              <w:t>тел.: (845-2) 27-96-42, факс: (845-2) 27-93-14</w:t>
                              <w:br/>
                              <w:t>е-таП: 1о64@Га8.§оу.ги</w:t>
                            </w:r>
                          </w:p>
                          <w:p>
                            <w:pPr>
                              <w:pStyle w:val="Style7"/>
                              <w:keepNext w:val="0"/>
                              <w:keepLines w:val="0"/>
                              <w:widowControl w:val="0"/>
                              <w:shd w:val="clear" w:color="auto" w:fill="auto"/>
                              <w:tabs>
                                <w:tab w:pos="1834" w:val="left"/>
                              </w:tabs>
                              <w:bidi w:val="0"/>
                              <w:spacing w:before="0" w:after="16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30.01.2025</w:t>
                            </w:r>
                            <w:r>
                              <w:fldChar w:fldCharType="end"/>
                            </w:r>
                            <w:r>
                              <w:rPr>
                                <w:color w:val="000000"/>
                                <w:spacing w:val="0"/>
                                <w:w w:val="100"/>
                                <w:position w:val="0"/>
                                <w:sz w:val="30"/>
                                <w:szCs w:val="30"/>
                                <w:shd w:val="clear" w:color="auto" w:fill="auto"/>
                                <w:lang w:val="ru-RU" w:eastAsia="ru-RU" w:bidi="ru-RU"/>
                              </w:rPr>
                              <w:tab/>
                              <w:t>№ 538/25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349999999999994pt;margin-top:57.649999999999999pt;width:190.80000000000001pt;height:136.80000000000001pt;z-index:-125829374;mso-wrap-distance-left:17.900000000000002pt;mso-wrap-distance-top:56.649999999999999pt;mso-wrap-distance-right:17.400000000000002pt;mso-wrap-distance-bottom:65.049999999999997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line="254" w:lineRule="auto"/>
                        <w:ind w:left="0" w:right="0" w:firstLine="0"/>
                        <w:jc w:val="center"/>
                      </w:pPr>
                      <w:r>
                        <w:rPr>
                          <w:b/>
                          <w:bCs/>
                          <w:spacing w:val="0"/>
                          <w:w w:val="100"/>
                          <w:position w:val="0"/>
                          <w:shd w:val="clear" w:color="auto" w:fill="auto"/>
                          <w:lang w:val="ru-RU" w:eastAsia="ru-RU" w:bidi="ru-RU"/>
                        </w:rPr>
                        <w:t>УПРАВЛЕНИЕ</w:t>
                        <w:br/>
                        <w:t>Федеральной антимонопольной службы</w:t>
                        <w:br/>
                        <w:t>по Саратовской области</w:t>
                      </w:r>
                    </w:p>
                    <w:p>
                      <w:pPr>
                        <w:pStyle w:val="Style4"/>
                        <w:keepNext w:val="0"/>
                        <w:keepLines w:val="0"/>
                        <w:widowControl w:val="0"/>
                        <w:shd w:val="clear" w:color="auto" w:fill="auto"/>
                        <w:bidi w:val="0"/>
                        <w:spacing w:before="0" w:after="220" w:line="240" w:lineRule="auto"/>
                        <w:ind w:left="0" w:right="0" w:firstLine="0"/>
                        <w:jc w:val="center"/>
                      </w:pPr>
                      <w:r>
                        <w:rPr>
                          <w:spacing w:val="0"/>
                          <w:w w:val="100"/>
                          <w:position w:val="0"/>
                          <w:shd w:val="clear" w:color="auto" w:fill="auto"/>
                          <w:lang w:val="ru-RU" w:eastAsia="ru-RU" w:bidi="ru-RU"/>
                        </w:rPr>
                        <w:t>ул. Вольская, 81, г. Саратов, 410012</w:t>
                        <w:br/>
                        <w:t>тел.: (845-2) 27-96-42, факс: (845-2) 27-93-14</w:t>
                        <w:br/>
                        <w:t>е-таП: 1о64@Га8.§оу.ги</w:t>
                      </w:r>
                    </w:p>
                    <w:p>
                      <w:pPr>
                        <w:pStyle w:val="Style7"/>
                        <w:keepNext w:val="0"/>
                        <w:keepLines w:val="0"/>
                        <w:widowControl w:val="0"/>
                        <w:shd w:val="clear" w:color="auto" w:fill="auto"/>
                        <w:tabs>
                          <w:tab w:pos="1834" w:val="left"/>
                        </w:tabs>
                        <w:bidi w:val="0"/>
                        <w:spacing w:before="0" w:after="16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30.01.2025</w:t>
                      </w:r>
                      <w:r>
                        <w:fldChar w:fldCharType="end"/>
                      </w:r>
                      <w:r>
                        <w:rPr>
                          <w:color w:val="000000"/>
                          <w:spacing w:val="0"/>
                          <w:w w:val="100"/>
                          <w:position w:val="0"/>
                          <w:sz w:val="30"/>
                          <w:szCs w:val="30"/>
                          <w:shd w:val="clear" w:color="auto" w:fill="auto"/>
                          <w:lang w:val="ru-RU" w:eastAsia="ru-RU" w:bidi="ru-RU"/>
                        </w:rPr>
                        <w:tab/>
                        <w:t>№ 538/25</w:t>
                      </w:r>
                    </w:p>
                  </w:txbxContent>
                </v:textbox>
                <w10:wrap type="square" side="right" anchorx="page"/>
              </v:shape>
            </w:pict>
          </mc:Fallback>
        </mc:AlternateContent>
      </w:r>
      <w:r>
        <w:drawing>
          <wp:anchor distT="3108960" distB="0" distL="123190" distR="114300" simplePos="0" relativeHeight="125829381" behindDoc="0" locked="0" layoutInCell="1" allowOverlap="1">
            <wp:simplePos x="0" y="0"/>
            <wp:positionH relativeFrom="page">
              <wp:posOffset>713105</wp:posOffset>
            </wp:positionH>
            <wp:positionV relativeFrom="paragraph">
              <wp:posOffset>3121660</wp:posOffset>
            </wp:positionV>
            <wp:extent cx="2633345" cy="17653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33345" cy="1765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704215</wp:posOffset>
                </wp:positionH>
                <wp:positionV relativeFrom="paragraph">
                  <wp:posOffset>2649220</wp:posOffset>
                </wp:positionV>
                <wp:extent cx="2630170" cy="164465"/>
                <wp:wrapNone/>
                <wp:docPr id="7" name="Shape 7"/>
                <a:graphic xmlns:a="http://schemas.openxmlformats.org/drawingml/2006/main">
                  <a:graphicData uri="http://schemas.microsoft.com/office/word/2010/wordprocessingShape">
                    <wps:wsp>
                      <wps:cNvSpPr txBox="1"/>
                      <wps:spPr>
                        <a:xfrm>
                          <a:ext cx="263017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color w:val="45609A"/>
                                <w:spacing w:val="0"/>
                                <w:w w:val="100"/>
                                <w:position w:val="0"/>
                                <w:sz w:val="19"/>
                                <w:szCs w:val="19"/>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5.450000000000003pt;margin-top:208.59999999999999pt;width:207.09999999999999pt;height:12.950000000000001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19"/>
                          <w:szCs w:val="19"/>
                        </w:rPr>
                      </w:pPr>
                      <w:r>
                        <w:rPr>
                          <w:color w:val="45609A"/>
                          <w:spacing w:val="0"/>
                          <w:w w:val="100"/>
                          <w:position w:val="0"/>
                          <w:sz w:val="19"/>
                          <w:szCs w:val="19"/>
                          <w:shd w:val="clear" w:color="auto" w:fill="auto"/>
                          <w:lang w:val="ru-RU" w:eastAsia="ru-RU" w:bidi="ru-RU"/>
                        </w:rPr>
                        <w:t xml:space="preserve">На №  от</w:t>
                      </w:r>
                    </w:p>
                  </w:txbxContent>
                </v:textbox>
                <w10:wrap anchorx="page"/>
              </v:shape>
            </w:pict>
          </mc:Fallback>
        </mc:AlternateContent>
      </w:r>
      <w:r>
        <w:drawing>
          <wp:anchor distT="0" distB="0" distL="114300" distR="114300" simplePos="0" relativeHeight="125829382" behindDoc="0" locked="0" layoutInCell="1" allowOverlap="1">
            <wp:simplePos x="0" y="0"/>
            <wp:positionH relativeFrom="page">
              <wp:posOffset>716280</wp:posOffset>
            </wp:positionH>
            <wp:positionV relativeFrom="paragraph">
              <wp:posOffset>9265920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7"/>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ru-RU" w:eastAsia="ru-RU" w:bidi="ru-RU"/>
        </w:rPr>
        <w:t>ООО «Глобалс аудит» 620027, г. Екатеринбург, ул.</w:t>
      </w:r>
    </w:p>
    <w:p>
      <w:pPr>
        <w:pStyle w:val="Style7"/>
        <w:keepNext w:val="0"/>
        <w:keepLines w:val="0"/>
        <w:widowControl w:val="0"/>
        <w:shd w:val="clear" w:color="auto" w:fill="auto"/>
        <w:bidi w:val="0"/>
        <w:spacing w:before="0" w:after="280" w:line="240" w:lineRule="auto"/>
        <w:ind w:left="720" w:right="0" w:firstLine="20"/>
        <w:jc w:val="left"/>
      </w:pPr>
      <w:r>
        <w:rPr>
          <w:color w:val="000000"/>
          <w:spacing w:val="0"/>
          <w:w w:val="100"/>
          <w:position w:val="0"/>
          <w:shd w:val="clear" w:color="auto" w:fill="auto"/>
          <w:lang w:val="ru-RU" w:eastAsia="ru-RU" w:bidi="ru-RU"/>
        </w:rPr>
        <w:t>Луначарского, д. 31, оф.216 Телефон/факс: 8(343)268-23-55 5аУ11г@Ы&lt;.П1</w:t>
      </w:r>
    </w:p>
    <w:p>
      <w:pPr>
        <w:pStyle w:val="Style7"/>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ru-RU" w:eastAsia="ru-RU" w:bidi="ru-RU"/>
        </w:rPr>
        <w:t>МУП «Саратовводоканал»</w:t>
      </w:r>
    </w:p>
    <w:p>
      <w:pPr>
        <w:pStyle w:val="Style7"/>
        <w:keepNext w:val="0"/>
        <w:keepLines w:val="0"/>
        <w:widowControl w:val="0"/>
        <w:shd w:val="clear" w:color="auto" w:fill="auto"/>
        <w:bidi w:val="0"/>
        <w:spacing w:before="0" w:after="0" w:line="240" w:lineRule="auto"/>
        <w:ind w:left="720" w:right="0" w:firstLine="20"/>
        <w:jc w:val="left"/>
      </w:pPr>
      <w:r>
        <w:rPr>
          <w:color w:val="000000"/>
          <w:spacing w:val="0"/>
          <w:w w:val="100"/>
          <w:position w:val="0"/>
          <w:shd w:val="clear" w:color="auto" w:fill="auto"/>
          <w:lang w:val="ru-RU" w:eastAsia="ru-RU" w:bidi="ru-RU"/>
        </w:rPr>
        <w:t>410028, Саратовская обл., г. Саратов, ул.</w:t>
      </w:r>
    </w:p>
    <w:p>
      <w:pPr>
        <w:pStyle w:val="Style7"/>
        <w:keepNext w:val="0"/>
        <w:keepLines w:val="0"/>
        <w:widowControl w:val="0"/>
        <w:shd w:val="clear" w:color="auto" w:fill="auto"/>
        <w:bidi w:val="0"/>
        <w:spacing w:before="0" w:after="280" w:line="240" w:lineRule="auto"/>
        <w:ind w:left="720" w:right="0" w:firstLine="20"/>
        <w:jc w:val="left"/>
      </w:pPr>
      <w:r>
        <w:rPr>
          <w:color w:val="000000"/>
          <w:spacing w:val="0"/>
          <w:w w:val="100"/>
          <w:position w:val="0"/>
          <w:shd w:val="clear" w:color="auto" w:fill="auto"/>
          <w:lang w:val="ru-RU" w:eastAsia="ru-RU" w:bidi="ru-RU"/>
        </w:rPr>
        <w:t>Советская, д.10 1епп-8аг@тай.ги /а1&lt;11р1&lt;1@8а1л1о\лл)с1о1&lt;а11а1.П1 тГо@8ага1о\А'ос1о1&lt;а11а1.П1</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ЭТП Газпромбанк</w:t>
      </w:r>
    </w:p>
    <w:p>
      <w:pPr>
        <w:pStyle w:val="Style7"/>
        <w:keepNext w:val="0"/>
        <w:keepLines w:val="0"/>
        <w:widowControl w:val="0"/>
        <w:shd w:val="clear" w:color="auto" w:fill="auto"/>
        <w:bidi w:val="0"/>
        <w:spacing w:before="0" w:after="0" w:line="240" w:lineRule="auto"/>
        <w:ind w:left="5120" w:right="0" w:firstLine="0"/>
        <w:jc w:val="both"/>
      </w:pPr>
      <w:r>
        <w:rPr>
          <w:color w:val="000000"/>
          <w:spacing w:val="0"/>
          <w:w w:val="100"/>
          <w:position w:val="0"/>
          <w:shd w:val="clear" w:color="auto" w:fill="auto"/>
          <w:lang w:val="ru-RU" w:eastAsia="ru-RU" w:bidi="ru-RU"/>
        </w:rPr>
        <w:t>119180, г. Москва, Якиманская набережная, 2</w:t>
      </w:r>
    </w:p>
    <w:p>
      <w:pPr>
        <w:pStyle w:val="Style7"/>
        <w:keepNext w:val="0"/>
        <w:keepLines w:val="0"/>
        <w:widowControl w:val="0"/>
        <w:shd w:val="clear" w:color="auto" w:fill="auto"/>
        <w:bidi w:val="0"/>
        <w:spacing w:before="0" w:after="280" w:line="240" w:lineRule="auto"/>
        <w:ind w:left="5120" w:right="0" w:firstLine="0"/>
        <w:jc w:val="both"/>
      </w:pPr>
      <w:r>
        <w:rPr>
          <w:color w:val="000000"/>
          <w:spacing w:val="0"/>
          <w:w w:val="100"/>
          <w:position w:val="0"/>
          <w:shd w:val="clear" w:color="auto" w:fill="auto"/>
          <w:lang w:val="ru-RU" w:eastAsia="ru-RU" w:bidi="ru-RU"/>
        </w:rPr>
        <w:t>тГо@ефдрЫ.ги</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Е Н И Е № 064/06/105-42/2025</w:t>
        <w:br/>
        <w:t>о признании жалобы необоснованной</w:t>
      </w:r>
    </w:p>
    <w:p>
      <w:pPr>
        <w:pStyle w:val="Style7"/>
        <w:keepNext w:val="0"/>
        <w:keepLines w:val="0"/>
        <w:widowControl w:val="0"/>
        <w:shd w:val="clear" w:color="auto" w:fill="auto"/>
        <w:tabs>
          <w:tab w:pos="9044"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27 января 2025 года</w:t>
        <w:tab/>
        <w:t>г. Саратов</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w:t>
      </w:r>
    </w:p>
    <w:p>
      <w:pPr>
        <w:pStyle w:val="Style7"/>
        <w:keepNext w:val="0"/>
        <w:keepLines w:val="0"/>
        <w:widowControl w:val="0"/>
        <w:numPr>
          <w:ilvl w:val="0"/>
          <w:numId w:val="1"/>
        </w:numPr>
        <w:shd w:val="clear" w:color="auto" w:fill="auto"/>
        <w:tabs>
          <w:tab w:pos="11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Кошманов П.Э. - заместитель руководителя, председатель Комиссии;</w:t>
      </w:r>
    </w:p>
    <w:p>
      <w:pPr>
        <w:pStyle w:val="Style7"/>
        <w:keepNext w:val="0"/>
        <w:keepLines w:val="0"/>
        <w:widowControl w:val="0"/>
        <w:numPr>
          <w:ilvl w:val="0"/>
          <w:numId w:val="1"/>
        </w:numPr>
        <w:shd w:val="clear" w:color="auto" w:fill="auto"/>
        <w:tabs>
          <w:tab w:pos="10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Николаев З.В. - старший государственный инспектор отдела контроля закупок, член Комиссии;</w:t>
      </w:r>
    </w:p>
    <w:p>
      <w:pPr>
        <w:pStyle w:val="Style7"/>
        <w:keepNext w:val="0"/>
        <w:keepLines w:val="0"/>
        <w:widowControl w:val="0"/>
        <w:numPr>
          <w:ilvl w:val="0"/>
          <w:numId w:val="1"/>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Шапошникова А.А. - ведущий специалист-эксперт отдела контроля закупок, член Комиссии,</w:t>
      </w:r>
    </w:p>
    <w:p>
      <w:pPr>
        <w:pStyle w:val="Style7"/>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рассмотрев жалобу ООО «Глобалс аудит» на действия МУП «Саратовводоканал» при проведении открытого конкурса в электронной форме № 0560600001724000001 «Оказание услуг по проведению обязательного аудита бухгалтерской (финансовой) отчетности за 2024 год»,</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20.01.2025 в Саратовское УФАС России поступила жалоба ООО «Глобалс аудит» (далее - Общество, Заявитель) на действия МУП «Саратовводоканал» при проведении открытого конкурса в электронной форме № 0560600001724000001 </w:t>
      </w:r>
      <w:r>
        <w:rPr>
          <w:color w:val="000000"/>
          <w:spacing w:val="0"/>
          <w:w w:val="100"/>
          <w:position w:val="0"/>
          <w:shd w:val="clear" w:color="auto" w:fill="auto"/>
          <w:lang w:val="ru-RU" w:eastAsia="ru-RU" w:bidi="ru-RU"/>
        </w:rPr>
        <w:t>«Оказание услуг по проведению обязательного аудита бухгалтерской (финансовой) отчетности за 2024 год» (далее - Конкурс).</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комиссией Заказчика МУП «Саратовводоканал» в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неправомерно оценена заявка Заявителя по детализирующему показателю «Характеристика квалификации участников закупки (общее количество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уведомлен о месте и времени рассмотрения жалобы надлежащим образом, на рассмотрении жалобы не присутствовал, явку своего представителя не обеспечил.</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уведомлен о месте и времени рассмотрения жалобы надлежащим образом, на рассмотрении жалобы не присутствовал, явку своего представителя не обеспечил, направил в качестве пояснений по жалобе письмо б/н от 24.01.2025.</w:t>
      </w:r>
    </w:p>
    <w:p>
      <w:pPr>
        <w:pStyle w:val="Style7"/>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Изучив представленные сведения и документы, проведя внеплановую проверку, Комиссия пришла к следующим выводам: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17.12.2024 в Единой информационной системе в сфере закупок было размещено извещение о проведении Конкурса.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является МУП «Саратовводоканал» (далее - Заказчик).</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300 000,00 рублей.</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4 ч. 2 ст.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порядок рассмотрения и оценки заявок на участие в конкурсах в соответствии с Законом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части 1 статьи 32 Закона о контрактной системе для оценки заявок участников закупки заказчик использует следующие критерии:</w:t>
      </w:r>
    </w:p>
    <w:p>
      <w:pPr>
        <w:pStyle w:val="Style7"/>
        <w:keepNext w:val="0"/>
        <w:keepLines w:val="0"/>
        <w:widowControl w:val="0"/>
        <w:numPr>
          <w:ilvl w:val="0"/>
          <w:numId w:val="3"/>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7"/>
        <w:keepNext w:val="0"/>
        <w:keepLines w:val="0"/>
        <w:widowControl w:val="0"/>
        <w:numPr>
          <w:ilvl w:val="0"/>
          <w:numId w:val="3"/>
        </w:numPr>
        <w:shd w:val="clear" w:color="auto" w:fill="auto"/>
        <w:tabs>
          <w:tab w:pos="11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7"/>
        <w:keepNext w:val="0"/>
        <w:keepLines w:val="0"/>
        <w:widowControl w:val="0"/>
        <w:numPr>
          <w:ilvl w:val="0"/>
          <w:numId w:val="3"/>
        </w:numPr>
        <w:shd w:val="clear" w:color="auto" w:fill="auto"/>
        <w:tabs>
          <w:tab w:pos="112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7"/>
        <w:keepNext w:val="0"/>
        <w:keepLines w:val="0"/>
        <w:widowControl w:val="0"/>
        <w:numPr>
          <w:ilvl w:val="0"/>
          <w:numId w:val="3"/>
        </w:numPr>
        <w:shd w:val="clear" w:color="auto" w:fill="auto"/>
        <w:tabs>
          <w:tab w:pos="11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w:t>
      </w:r>
      <w:r>
        <w:rPr>
          <w:color w:val="000000"/>
          <w:spacing w:val="0"/>
          <w:w w:val="100"/>
          <w:position w:val="0"/>
          <w:shd w:val="clear" w:color="auto" w:fill="auto"/>
          <w:lang w:val="ru-RU" w:eastAsia="ru-RU" w:bidi="ru-RU"/>
        </w:rPr>
        <w:t>квалификации.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4 статьи 32 Закона о контрактной системе предусмотрено, что в извещении об осуществлении закупки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Положения при проведении Конкурса был установлен порядок рассмотрения и оценки заявок на участие в конкурсе и установлены следующие критерии оценки заявок:</w:t>
      </w:r>
    </w:p>
    <w:p>
      <w:pPr>
        <w:pStyle w:val="Style7"/>
        <w:keepNext w:val="0"/>
        <w:keepLines w:val="0"/>
        <w:widowControl w:val="0"/>
        <w:numPr>
          <w:ilvl w:val="0"/>
          <w:numId w:val="5"/>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7"/>
        <w:keepNext w:val="0"/>
        <w:keepLines w:val="0"/>
        <w:widowControl w:val="0"/>
        <w:numPr>
          <w:ilvl w:val="0"/>
          <w:numId w:val="5"/>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7"/>
        <w:keepNext w:val="0"/>
        <w:keepLines w:val="0"/>
        <w:widowControl w:val="0"/>
        <w:numPr>
          <w:ilvl w:val="0"/>
          <w:numId w:val="7"/>
        </w:numPr>
        <w:shd w:val="clear" w:color="auto" w:fill="auto"/>
        <w:tabs>
          <w:tab w:pos="11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7"/>
        <w:keepNext w:val="0"/>
        <w:keepLines w:val="0"/>
        <w:widowControl w:val="0"/>
        <w:numPr>
          <w:ilvl w:val="0"/>
          <w:numId w:val="7"/>
        </w:numPr>
        <w:shd w:val="clear" w:color="auto" w:fill="auto"/>
        <w:tabs>
          <w:tab w:pos="1136" w:val="left"/>
        </w:tabs>
        <w:bidi w:val="0"/>
        <w:spacing w:before="0" w:after="0" w:line="240" w:lineRule="auto"/>
        <w:ind w:left="720" w:right="0" w:firstLine="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7"/>
        <w:keepNext w:val="0"/>
        <w:keepLines w:val="0"/>
        <w:widowControl w:val="0"/>
        <w:numPr>
          <w:ilvl w:val="0"/>
          <w:numId w:val="7"/>
        </w:numPr>
        <w:shd w:val="clear" w:color="auto" w:fill="auto"/>
        <w:tabs>
          <w:tab w:pos="1126" w:val="left"/>
        </w:tabs>
        <w:bidi w:val="0"/>
        <w:spacing w:before="0" w:after="0" w:line="240" w:lineRule="auto"/>
        <w:ind w:left="720" w:right="0" w:firstLine="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7"/>
        <w:keepNext w:val="0"/>
        <w:keepLines w:val="0"/>
        <w:widowControl w:val="0"/>
        <w:numPr>
          <w:ilvl w:val="0"/>
          <w:numId w:val="7"/>
        </w:numPr>
        <w:shd w:val="clear" w:color="auto" w:fill="auto"/>
        <w:tabs>
          <w:tab w:pos="1112" w:val="left"/>
        </w:tabs>
        <w:bidi w:val="0"/>
        <w:spacing w:before="0" w:after="0" w:line="240" w:lineRule="auto"/>
        <w:ind w:left="720" w:right="0" w:firstLine="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7"/>
        <w:keepNext w:val="0"/>
        <w:keepLines w:val="0"/>
        <w:widowControl w:val="0"/>
        <w:numPr>
          <w:ilvl w:val="0"/>
          <w:numId w:val="7"/>
        </w:numPr>
        <w:shd w:val="clear" w:color="auto" w:fill="auto"/>
        <w:tabs>
          <w:tab w:pos="12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25 Положения для оценки заявок по показателям оценки, предусмотренным пунктом 24 настоящего Положения, применяются детализирующие показатели.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Конкурса, объектом закупки является «Оказание услуг по проведению обязательного аудита бухгалтерской (финансовой) отчетности за 2024 год».</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Приложением № 4 к извещению об осуществлении закупки «Порядок рассмотрения и оценки заявок на участие в конкурсе» (далее -</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Приложение № 4) по детализирующему показателю оценки «характеристика квалификации участников закупки №1 (общее количество исполненных участником закупки договоров)» предусмотрена следующая формула оценки/ шкала оценки:</w:t>
      </w:r>
    </w:p>
    <w:p>
      <w:pPr>
        <w:pStyle w:val="Style7"/>
        <w:keepNext w:val="0"/>
        <w:keepLines w:val="0"/>
        <w:widowControl w:val="0"/>
        <w:shd w:val="clear" w:color="auto" w:fill="auto"/>
        <w:bidi w:val="0"/>
        <w:spacing w:before="0" w:after="80" w:line="240" w:lineRule="auto"/>
        <w:ind w:left="0" w:right="0" w:firstLine="740"/>
        <w:jc w:val="both"/>
      </w:pPr>
      <w:r>
        <w:rPr>
          <w:color w:val="000000"/>
          <w:spacing w:val="0"/>
          <w:w w:val="100"/>
          <w:position w:val="0"/>
          <w:shd w:val="clear" w:color="auto" w:fill="auto"/>
          <w:lang w:val="ru-RU" w:eastAsia="ru-RU" w:bidi="ru-RU"/>
        </w:rPr>
        <w:t>«Значение количества баллов по детализирующему показателю, присваиваемых заявке, подлежащей оценке по критерию оценки, рассчитывается по формуле:</w:t>
      </w:r>
    </w:p>
    <w:p>
      <w:pPr>
        <w:pStyle w:val="Style7"/>
        <w:keepNext w:val="0"/>
        <w:keepLines w:val="0"/>
        <w:widowControl w:val="0"/>
        <w:shd w:val="clear" w:color="auto" w:fill="auto"/>
        <w:tabs>
          <w:tab w:pos="3831" w:val="left"/>
        </w:tabs>
        <w:bidi w:val="0"/>
        <w:spacing w:before="0" w:after="0" w:line="240" w:lineRule="auto"/>
        <w:ind w:left="0" w:right="0" w:firstLine="740"/>
        <w:jc w:val="both"/>
        <w:rPr>
          <w:sz w:val="40"/>
          <w:szCs w:val="40"/>
        </w:rPr>
      </w:pPr>
      <w:r>
        <w:rPr>
          <w:color w:val="000000"/>
          <w:spacing w:val="0"/>
          <w:w w:val="100"/>
          <w:position w:val="0"/>
          <w:sz w:val="26"/>
          <w:szCs w:val="26"/>
          <w:shd w:val="clear" w:color="auto" w:fill="auto"/>
          <w:lang w:val="ru-RU" w:eastAsia="ru-RU" w:bidi="ru-RU"/>
        </w:rPr>
        <w:t xml:space="preserve">БХ = </w:t>
      </w:r>
      <w:r>
        <w:rPr>
          <w:color w:val="000000"/>
          <w:spacing w:val="0"/>
          <w:w w:val="100"/>
          <w:position w:val="0"/>
          <w:sz w:val="38"/>
          <w:szCs w:val="38"/>
          <w:shd w:val="clear" w:color="auto" w:fill="auto"/>
          <w:vertAlign w:val="superscript"/>
          <w:lang w:val="ru-RU" w:eastAsia="ru-RU" w:bidi="ru-RU"/>
        </w:rPr>
        <w:t>(</w:t>
      </w:r>
      <w:r>
        <w:rPr>
          <w:color w:val="000000"/>
          <w:spacing w:val="0"/>
          <w:w w:val="100"/>
          <w:position w:val="0"/>
          <w:sz w:val="26"/>
          <w:szCs w:val="26"/>
          <w:shd w:val="clear" w:color="auto" w:fill="auto"/>
          <w:lang w:val="ru-RU" w:eastAsia="ru-RU" w:bidi="ru-RU"/>
        </w:rPr>
        <w:t>Х</w:t>
      </w:r>
      <w:r>
        <w:rPr>
          <w:color w:val="000000"/>
          <w:spacing w:val="0"/>
          <w:w w:val="100"/>
          <w:position w:val="0"/>
          <w:sz w:val="15"/>
          <w:szCs w:val="15"/>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 X,,</w:t>
      </w:r>
      <w:r>
        <w:rPr>
          <w:color w:val="000000"/>
          <w:spacing w:val="0"/>
          <w:w w:val="100"/>
          <w:position w:val="0"/>
          <w:sz w:val="15"/>
          <w:szCs w:val="15"/>
          <w:shd w:val="clear" w:color="auto" w:fill="auto"/>
          <w:lang w:val="ru-RU" w:eastAsia="ru-RU" w:bidi="ru-RU"/>
        </w:rPr>
        <w:t>,,,</w:t>
      </w:r>
      <w:r>
        <w:rPr>
          <w:color w:val="000000"/>
          <w:spacing w:val="0"/>
          <w:w w:val="100"/>
          <w:position w:val="0"/>
          <w:sz w:val="38"/>
          <w:szCs w:val="38"/>
          <w:shd w:val="clear" w:color="auto" w:fill="auto"/>
          <w:vertAlign w:val="superscript"/>
          <w:lang w:val="ru-RU" w:eastAsia="ru-RU" w:bidi="ru-RU"/>
        </w:rPr>
        <w:t>)</w:t>
      </w:r>
      <w:r>
        <w:rPr>
          <w:color w:val="000000"/>
          <w:spacing w:val="0"/>
          <w:w w:val="100"/>
          <w:position w:val="0"/>
          <w:sz w:val="40"/>
          <w:szCs w:val="40"/>
          <w:shd w:val="clear" w:color="auto" w:fill="auto"/>
          <w:vertAlign w:val="superscript"/>
          <w:lang w:val="ru-RU" w:eastAsia="ru-RU" w:bidi="ru-RU"/>
        </w:rPr>
        <w:t>х</w:t>
        <w:tab/>
        <w:t>;</w:t>
      </w:r>
    </w:p>
    <w:p>
      <w:pPr>
        <w:pStyle w:val="Style22"/>
        <w:keepNext w:val="0"/>
        <w:keepLines w:val="0"/>
        <w:widowControl w:val="0"/>
        <w:shd w:val="clear" w:color="auto" w:fill="auto"/>
        <w:tabs>
          <w:tab w:pos="3512" w:val="left"/>
        </w:tabs>
        <w:bidi w:val="0"/>
        <w:spacing w:before="0" w:after="0" w:line="0" w:lineRule="atLeast"/>
        <w:ind w:right="0"/>
        <w:jc w:val="left"/>
      </w:pPr>
      <w:r>
        <w:rPr>
          <w:color w:val="000000"/>
          <w:spacing w:val="0"/>
          <w:w w:val="100"/>
          <w:position w:val="0"/>
          <w:sz w:val="26"/>
          <w:szCs w:val="26"/>
          <w:shd w:val="clear" w:color="auto" w:fill="auto"/>
          <w:lang w:val="ru-RU" w:eastAsia="ru-RU" w:bidi="ru-RU"/>
        </w:rPr>
        <w:t xml:space="preserve">Х -Х </w:t>
      </w:r>
      <w:r>
        <w:rPr>
          <w:color w:val="000000"/>
          <w:spacing w:val="0"/>
          <w:w w:val="100"/>
          <w:position w:val="0"/>
          <w:shd w:val="clear" w:color="auto" w:fill="auto"/>
          <w:lang w:val="ru-RU" w:eastAsia="ru-RU" w:bidi="ru-RU"/>
        </w:rPr>
        <w:t>тах</w:t>
        <w:tab/>
        <w:t>тт</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где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БХ1 - количество баллов по детализирующему показателю;</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w:t>
      </w:r>
      <w:r>
        <w:rPr>
          <w:color w:val="000000"/>
          <w:spacing w:val="0"/>
          <w:w w:val="100"/>
          <w:position w:val="0"/>
          <w:sz w:val="16"/>
          <w:szCs w:val="16"/>
          <w:shd w:val="clear" w:color="auto" w:fill="auto"/>
          <w:lang w:val="ru-RU" w:eastAsia="ru-RU" w:bidi="ru-RU"/>
        </w:rPr>
        <w:t xml:space="preserve">{ </w:t>
      </w:r>
      <w:r>
        <w:rPr>
          <w:color w:val="000000"/>
          <w:spacing w:val="0"/>
          <w:w w:val="100"/>
          <w:position w:val="0"/>
          <w:shd w:val="clear" w:color="auto" w:fill="auto"/>
          <w:lang w:val="ru-RU" w:eastAsia="ru-RU" w:bidi="ru-RU"/>
        </w:rPr>
        <w:t>- значение характеристики объекта закупки, содержащееся в предложении участника закупки, заявка которого подлежит оценке по детализирующему показателю;</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Хтт - минимальное значение характеристики объекта закупки, содержащееся в заявках, подлежащих оценке по критерию оценке по детализирующему показателю;</w:t>
      </w:r>
    </w:p>
    <w:p>
      <w:pPr>
        <w:pStyle w:val="Style4"/>
        <w:keepNext w:val="0"/>
        <w:keepLines w:val="0"/>
        <w:widowControl w:val="0"/>
        <w:shd w:val="clear" w:color="auto" w:fill="auto"/>
        <w:bidi w:val="0"/>
        <w:spacing w:before="0" w:after="0" w:line="185" w:lineRule="auto"/>
        <w:ind w:left="0" w:right="0" w:firstLine="720"/>
        <w:jc w:val="left"/>
      </w:pPr>
      <w:r>
        <w:rPr>
          <w:color w:val="000000"/>
          <w:spacing w:val="0"/>
          <w:w w:val="100"/>
          <w:position w:val="0"/>
          <w:sz w:val="30"/>
          <w:szCs w:val="30"/>
          <w:shd w:val="clear" w:color="auto" w:fill="auto"/>
          <w:vertAlign w:val="subscript"/>
          <w:lang w:val="ru-RU" w:eastAsia="ru-RU" w:bidi="ru-RU"/>
        </w:rPr>
        <w:t>Х</w:t>
      </w:r>
      <w:r>
        <w:rPr>
          <w:color w:val="000000"/>
          <w:spacing w:val="0"/>
          <w:w w:val="100"/>
          <w:position w:val="0"/>
          <w:shd w:val="clear" w:color="auto" w:fill="auto"/>
          <w:lang w:val="ru-RU" w:eastAsia="ru-RU" w:bidi="ru-RU"/>
        </w:rPr>
        <w:t>пред</w:t>
      </w:r>
    </w:p>
    <w:p>
      <w:pPr>
        <w:pStyle w:val="Style7"/>
        <w:keepNext w:val="0"/>
        <w:keepLines w:val="0"/>
        <w:widowControl w:val="0"/>
        <w:shd w:val="clear" w:color="auto" w:fill="auto"/>
        <w:bidi w:val="0"/>
        <w:spacing w:before="0" w:after="0" w:line="240" w:lineRule="auto"/>
        <w:ind w:left="0" w:right="0" w:firstLine="1040"/>
        <w:jc w:val="both"/>
      </w:pPr>
      <w:r>
        <w:rPr>
          <w:color w:val="000000"/>
          <w:spacing w:val="0"/>
          <w:w w:val="100"/>
          <w:position w:val="0"/>
          <w:shd w:val="clear" w:color="auto" w:fill="auto"/>
          <w:vertAlign w:val="superscript"/>
          <w:lang w:val="ru-RU" w:eastAsia="ru-RU" w:bidi="ru-RU"/>
        </w:rPr>
        <w:t>тах</w:t>
      </w:r>
      <w:r>
        <w:rPr>
          <w:color w:val="000000"/>
          <w:spacing w:val="0"/>
          <w:w w:val="100"/>
          <w:position w:val="0"/>
          <w:shd w:val="clear" w:color="auto" w:fill="auto"/>
          <w:lang w:val="ru-RU" w:eastAsia="ru-RU" w:bidi="ru-RU"/>
        </w:rPr>
        <w:t xml:space="preserve"> - предельное максимальное значение характеристики, установленное заказчиком,</w:t>
      </w:r>
    </w:p>
    <w:p>
      <w:pPr>
        <w:pStyle w:val="Style4"/>
        <w:keepNext w:val="0"/>
        <w:keepLines w:val="0"/>
        <w:widowControl w:val="0"/>
        <w:shd w:val="clear" w:color="auto" w:fill="auto"/>
        <w:bidi w:val="0"/>
        <w:spacing w:before="0" w:after="0" w:line="185" w:lineRule="auto"/>
        <w:ind w:left="0" w:right="0" w:firstLine="720"/>
        <w:jc w:val="left"/>
      </w:pPr>
      <w:r>
        <w:rPr>
          <w:color w:val="000000"/>
          <w:spacing w:val="0"/>
          <w:w w:val="100"/>
          <w:position w:val="0"/>
          <w:sz w:val="30"/>
          <w:szCs w:val="30"/>
          <w:shd w:val="clear" w:color="auto" w:fill="auto"/>
          <w:vertAlign w:val="subscript"/>
          <w:lang w:val="ru-RU" w:eastAsia="ru-RU" w:bidi="ru-RU"/>
        </w:rPr>
        <w:t>Х</w:t>
      </w:r>
      <w:r>
        <w:rPr>
          <w:color w:val="000000"/>
          <w:spacing w:val="0"/>
          <w:w w:val="100"/>
          <w:position w:val="0"/>
          <w:shd w:val="clear" w:color="auto" w:fill="auto"/>
          <w:lang w:val="ru-RU" w:eastAsia="ru-RU" w:bidi="ru-RU"/>
        </w:rPr>
        <w:t>пред</w:t>
      </w:r>
    </w:p>
    <w:p>
      <w:pPr>
        <w:pStyle w:val="Style7"/>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vertAlign w:val="superscript"/>
          <w:lang w:val="ru-RU" w:eastAsia="ru-RU" w:bidi="ru-RU"/>
        </w:rPr>
        <w:t>тах</w:t>
      </w:r>
      <w:r>
        <w:rPr>
          <w:color w:val="000000"/>
          <w:spacing w:val="0"/>
          <w:w w:val="100"/>
          <w:position w:val="0"/>
          <w:shd w:val="clear" w:color="auto" w:fill="auto"/>
          <w:lang w:val="ru-RU" w:eastAsia="ru-RU" w:bidi="ru-RU"/>
        </w:rPr>
        <w:t xml:space="preserve"> =100 договоров.</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Если в предложении участника закупки содержится значение характеристики объекта закупки, которое выше предельного значения, баллы по детализирующему показателю присваиваются в размере, предусмотренном для предельного значения характеристики объекта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Разделом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Приложения № 4 указано:</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«Показатель оценки «наличие у участников закупки опыта поставки товара, выполнения работы, оказания услуги, связанного с предметом контракта». Показатель оценки, детализирующий показатель оценки, «общее количество исполненных участником закупки договоров»: По показателю оценки, детализирующему показатель оценки, «общее количество исполненных участником закупки договоров» оценивается и учитывается общее количество исполненных контрактов (договоров) у участника на оказание услуг по проведению аудиторских проверок бухгалтерской (финансовой) отчетности организаций, по предельным значениям дохода не менее 2 млрд. руб. за календарный год (по аналогии с постановлением Правительства РФ от 04.04.2016 №265 «О предельных значениях дохода, полученного от осуществления предпринимательской деятельности, для каждой категории субъектов малого и среднего предпринимательства») аудируемого периода.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рассмотрении заявок по детализирующему показателю используется информация из рекомендуемой Формы «Сведения об опыте проведения аудиторских проверок бухгалтерской (финансовой) отчетности организаций, по предельным </w:t>
      </w:r>
      <w:r>
        <w:rPr>
          <w:color w:val="000000"/>
          <w:spacing w:val="0"/>
          <w:w w:val="100"/>
          <w:position w:val="0"/>
          <w:shd w:val="clear" w:color="auto" w:fill="auto"/>
          <w:lang w:val="ru-RU" w:eastAsia="ru-RU" w:bidi="ru-RU"/>
        </w:rPr>
        <w:t>значениям дохода не менее 2 млрд. руб. за календарный год (по аналогии с постановлением Правительства РФ от 04.04.2016 №265 «О предельных значениях дохода, полученного от осуществления предпринимательской деятельности, для каждой категории субъектов малого и среднего предпринимательства») аудируемого периода» (по форме приложения № 1 к порядку рассмотрения и оценки заявок на участие в конкурсе).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качестве подтверждения по настоящему детализирующему показателю участник закупки представляет:</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исполненный договор (договоры), акт (акты) приемки оказанных услуг, составленные при исполнении такого договора (договоров). Последний акт, составленный при исполнении договора (договоров) и предусмотренный настоящим пунктом, должен быть подписан не ранее чем за 5 лет до даты окончания срока подачи заявок. Такие документы направляются в форме электронных документов или в форме электронных образов бумажных документов.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исключительно исполненный договор (договора), при исполнении которого поставщиком (подрядчиком, исполнителем) исполнены требования об уплате неустоек (штрафов, пеней) (в случае начисления неустоек). К оценке принимаются документы, указанные в настоящем пункте в случае их предоставления в заявке в полном объеме и со всеми приложениями.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отсутствия в составе заявки участника копии договора (договоров) и документов об их исполнении, подтверждающих сведения по настоящему детализирующему показателю, такой договор (договоры) при определении баллов по признаку не учитываются. Если документы, предусмотренные настоящим пунктом, и информация о таких документах содержатся в открытых и общедоступных государственных реестрах, размещенных в информационно</w:t>
        <w:softHyphen/>
        <w:t>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 (в случае если документы и информация о таких документах содержатся в единой информационной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случае расхождения информации, предоставленной в Форме «Сведения об опыте проведения аудиторских проверок бухгалтерской (финансовой) отчетности организаций, по предельным значениям дохода не менее 2 млрд. руб. за календарный год (по аналогии с постановлением Правительства РФ от 04.04.2016 </w:t>
      </w:r>
      <w:r>
        <w:rPr>
          <w:color w:val="000000"/>
          <w:spacing w:val="0"/>
          <w:w w:val="100"/>
          <w:position w:val="0"/>
          <w:shd w:val="clear" w:color="auto" w:fill="auto"/>
          <w:lang w:val="ru-RU" w:eastAsia="ru-RU" w:bidi="ru-RU"/>
        </w:rPr>
        <w:t>№265 «О предельных значениях дохода, полученного от осуществления предпринимательской деятельности, для каждой категории субъектов малого и среднего предпринимательства») аудируемого периода», с информацией, содержащейся в подтверждающих документах, представленных в составе заявки, приоритетной считается информация, содержащаяся в подтверждающих документах, представленных в составе заявки.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заказчика лучшим условием исполнения договора по показателю оценки является наибольшее значение показателя.</w:t>
      </w:r>
    </w:p>
    <w:p>
      <w:pPr>
        <w:pStyle w:val="Style7"/>
        <w:keepNext w:val="0"/>
        <w:keepLines w:val="0"/>
        <w:widowControl w:val="0"/>
        <w:shd w:val="clear" w:color="auto" w:fill="auto"/>
        <w:bidi w:val="0"/>
        <w:spacing w:before="0" w:after="0" w:line="221" w:lineRule="auto"/>
        <w:ind w:left="0" w:right="0" w:firstLine="720"/>
        <w:jc w:val="both"/>
      </w:pPr>
      <w:r>
        <w:rPr>
          <w:color w:val="000000"/>
          <w:spacing w:val="0"/>
          <w:w w:val="100"/>
          <w:position w:val="0"/>
          <w:shd w:val="clear" w:color="auto" w:fill="auto"/>
          <w:lang w:val="ru-RU" w:eastAsia="ru-RU" w:bidi="ru-RU"/>
        </w:rPr>
        <w:t xml:space="preserve">Заказчиком в рамках оценки по детализирующему показателю «общее количество исполненных участником закупки договоров» установлено предельное </w:t>
      </w:r>
      <w:r>
        <w:rPr>
          <w:color w:val="000000"/>
          <w:spacing w:val="0"/>
          <w:w w:val="100"/>
          <w:position w:val="0"/>
          <w:sz w:val="30"/>
          <w:szCs w:val="30"/>
          <w:shd w:val="clear" w:color="auto" w:fill="auto"/>
          <w:vertAlign w:val="subscript"/>
          <w:lang w:val="ru-RU" w:eastAsia="ru-RU" w:bidi="ru-RU"/>
        </w:rPr>
        <w:t>Х</w:t>
      </w:r>
      <w:r>
        <w:rPr>
          <w:color w:val="000000"/>
          <w:spacing w:val="0"/>
          <w:w w:val="100"/>
          <w:position w:val="0"/>
          <w:sz w:val="19"/>
          <w:szCs w:val="19"/>
          <w:shd w:val="clear" w:color="auto" w:fill="auto"/>
          <w:lang w:val="ru-RU" w:eastAsia="ru-RU" w:bidi="ru-RU"/>
        </w:rPr>
        <w:t xml:space="preserve">пред </w:t>
      </w:r>
      <w:r>
        <w:rPr>
          <w:color w:val="000000"/>
          <w:spacing w:val="0"/>
          <w:w w:val="100"/>
          <w:position w:val="0"/>
          <w:shd w:val="clear" w:color="auto" w:fill="auto"/>
          <w:lang w:val="ru-RU" w:eastAsia="ru-RU" w:bidi="ru-RU"/>
        </w:rPr>
        <w:t xml:space="preserve">максимальное значение характеристики </w:t>
      </w:r>
      <w:r>
        <w:rPr>
          <w:color w:val="000000"/>
          <w:spacing w:val="0"/>
          <w:w w:val="100"/>
          <w:position w:val="0"/>
          <w:shd w:val="clear" w:color="auto" w:fill="auto"/>
          <w:vertAlign w:val="superscript"/>
          <w:lang w:val="ru-RU" w:eastAsia="ru-RU" w:bidi="ru-RU"/>
        </w:rPr>
        <w:t>тах</w:t>
      </w:r>
      <w:r>
        <w:rPr>
          <w:color w:val="000000"/>
          <w:spacing w:val="0"/>
          <w:w w:val="100"/>
          <w:position w:val="0"/>
          <w:shd w:val="clear" w:color="auto" w:fill="auto"/>
          <w:lang w:val="ru-RU" w:eastAsia="ru-RU" w:bidi="ru-RU"/>
        </w:rPr>
        <w:t xml:space="preserve"> =100 договоров».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заявке ООО «Глобалс Аудит» был присвоен идентификационный номер «15», в котором Заявителю поставлена заниженная оценка по показателю «Наличие у участников закупки опыта поставки товара, выполнения работы, оказания услуги, связанного с предметом контракта».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что Заказчиком неправомерно размещена неполная информация по оценке вторых частей заявок в Единой информационной системе в сфере закупок (далее - ЕИС): В ЕИС отсутствуют вложения по протоколу рассмотрения вторых частей и итоговому протоколу, имеется только значение баллов, указанное в структурированной форме извещения ЕИС.</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показателю «Наличие у участников закупки опыта поставки товара, выполнения работы, оказания услуги, связанного с предметом контракта» оценка заявки Заявителя равна 62,34% (Оценка без учета значимости по показателю), 24,94% (Оценка с учетом значимости по показателю).</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что определить по какой причине часть из представленных договоров были отвергнуты, и снижены баллы, участники не могут. При этом заказчик установил предельное максимальное количество договоров равное 100, соответственно каждый принятый договор равен 1% (баллу) и оценка 62,34% из 100 не может быть достоверной, так как не может контракт быть принят «частично».</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Кроме того, в соответствии с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 3 и п. 4 ч. 1 ст. 32 Закона о контрактной системе критериями оценки этих заявок, окончательных предложений.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Заявитель в тексте жалобы указывает на то, что Заказчиком размещен пустой протокол рассмотрения вторых частей заявок без расчета баллов по каждому оценочному критерию, что лишает участников права получить достоверную информацию об итогах торгов.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не согласившись с жалобой Заявителя предоставил в адрес Саратовского УФАС России возражения и пояснил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расчете оценки детализирующего показателя «Общее количество исполненных участником договоров» количество исполненных участником договоров принято в количестве - 71 шт., что подтверждается протоколом рассмотрения и оценки вторых частей заявок по процедуре.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Расчет оценки детализирующего показателя произведен по формуле, предусмотренной закупочной документацией с учетом того, что минимальное значение характеристики объекта закупки составило 23 шт. (заявка участника №12).</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представленных Заказчиком расчетов значений оценки показателей следует:</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критерию «наличие у участников опыта поставки товара, выполнения работы, оказания услуги, связанного с предметом контракта» Заявке Заявителя (заявке № 15) присвоены следующие баллы:</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6652022791=(71-23)х(100/(100-23))=62,34х40%=24,94 б.</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жалобы о том, что Заказчик в протоколах необоснованно не указывает наименование участников, несостоятелен и не подлежит удовлетворению в силу следующего.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составу протокола подведения итогов установлены частью 17 статьи 48 Закона о контрактной системе. Перечень информации, определенный ч. 17 ст. 48 Закона о контрактной системе является исчерпывающим и не содержит обязанности Заказчика в указании наименования участников закупки, а только лишь порядковые номера участников, присвоенные заявкам на участие в закупке.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жалобы о том, что протокол итогов является «пустым», и не содержит пояснений в части расчета баллов по оценочным показателям, несостоятелен и не подлежит удовлетворению в силу следующего.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Исчерпывающее содержание протокола рассмотрения и оценки вторых частей заявок установлено ч. 13 ст. 48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информации об оценке заявок в таком протоколе предусматривается указание только присвоенных значений (баллов) (п. 3 ч. 13 ст. 48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Обосновывать в протоколе количество присвоенных баллов (приводить расчеты по формулам и т.д.) законодательство не требует.</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Заявитель считает жалобу не обоснованной, не подлежащей удовлетворению.</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Саратовское УФАС России, изучив материалы, предоставленные сторонами, пришло к следующим выводам.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17 ст. 48 Закона о контрактной системе протокол подведения итогов определения поставщика (подрядчика, исполнителя) должен содержать следующую информацию:</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дату подведения итогов определения поставщика (подрядчика, исполнителя), идентификационные номера заявок на участие в закупке;</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Законом о контрактной системе, с обоснованием 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присвоенные заявкам на участие в закупке, первые и вторые части которых </w:t>
      </w:r>
      <w:r>
        <w:rPr>
          <w:color w:val="000000"/>
          <w:spacing w:val="0"/>
          <w:w w:val="100"/>
          <w:position w:val="0"/>
          <w:shd w:val="clear" w:color="auto" w:fill="auto"/>
          <w:lang w:val="ru-RU" w:eastAsia="ru-RU" w:bidi="ru-RU"/>
        </w:rPr>
        <w:t>признаны соответствующими извещению об осуществлении закупки, значения по критериям оценки, установленным в извещении об осуществлении закупки;</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порядковые номера, присвоенные в соответствии с настоящим Федеральным законом заявкам на участие в закупке;</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заключении контракта по цене, увеличенной в соответствии со ст. 28 и 29 Закона о контрактной системе;</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решении каждого члена комиссии по осуществлению закупок в отношении каждой заявки на участие в закупке;</w:t>
      </w:r>
    </w:p>
    <w:p>
      <w:pPr>
        <w:pStyle w:val="Style7"/>
        <w:keepNext w:val="0"/>
        <w:keepLines w:val="0"/>
        <w:widowControl w:val="0"/>
        <w:numPr>
          <w:ilvl w:val="0"/>
          <w:numId w:val="9"/>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признании определения поставщика (подрядчика, исполнителя) несостоявшимся в случаях, предусмотренных п. 1 - 4 ч. 1 ст. 52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Саратовского УФАС России отмечает, что положениями ч. 17 ст. 48 Закона о контрактной системе установлен закрытый перечень информации, которую конкурсная комиссия Заказчика обязана включить в публикуемый протокол подведения итогов.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Саратовского УФАС России установлено, что опубликованный Заказчиком протокол подведения итогов определения поставщика (подрядчика, исполнителя) от 15.01.2025 №ИЭОК1 содержит информацию, предусмотренную ч. 17 ст.48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Саратовского УФАС России отмечает, что ч. 17 ст. 48 Закона о контрактной системе не предусмотрено указание в протоколе подведения итогов сведений о наименовании организаций участников закупочной процедуры, ввиду чего Заказчик не обязан представлять данные сведения в рамках ответа на запрос разъяснений протокола подведения итогов, кроме того ч. 18 ст. 48 Закона о контрактной системе прямо указано, что участник закупочной процедуры вправе направить оператору электронной площадки с использованием электронной площадки запрос о даче разъяснений информации, содержащейся в протоколе подведения итогов в отношении собственной заявки.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п. 3 ч. 13 ст. 48, п. 3 ч. 17 ст. 48 Закона о контрактной системе в протоколе рассмотрения и оценки вторых частей заявок на участие в открытом конкурсе в электронной форме от 14.01.2025 №ПРОШ и протоколе подведения итогов определения поставщика (подрядчика, исполнителя) от 15.01.2025 №ИЭОК1 содержится.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Саратовского УФАС России поясняет, что обязанность включать в протоколы расчет значений по детализирующим показателям оценки критериев и сведения, предоставленные участниками конкурса в составе своих заявок, на комиссию по осуществлению закупок действующим законодательством не возложена.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Саратовского УФАС России не усматривает нарушений положений Закона о контрактной системе в действиях Заказчика при составлении протоколов открытого конкурса в электронной форме.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обстоятельствах доводы жалобы не нашли своего подтверждения.</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Учитывая вышеизложенное и на основании, ст. 99, ст. 106 Федерального закона от 05.04.2013 № 44-ФЗ "О контрактной системе в сфере закупок товаров,</w:t>
        <w:br w:type="page"/>
      </w:r>
      <w:r>
        <w:rPr>
          <w:color w:val="000000"/>
          <w:spacing w:val="0"/>
          <w:w w:val="100"/>
          <w:position w:val="0"/>
          <w:shd w:val="clear" w:color="auto" w:fill="auto"/>
          <w:lang w:val="ru-RU" w:eastAsia="ru-RU" w:bidi="ru-RU"/>
        </w:rPr>
        <w:t>работ, услуг для обеспечения государственных и муниципальных нужд", Комиссия Саратовского УФАС России,</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ООО «Глобалс аудит» на действия МУП «Саратовводоканал» при проведении открытого конкурса в электронной форме № 0560600001724000001 «Оказание услуг по проведению обязательного аудита бухгалтерской (финансовой) отчетности за 2024 год» необоснованной.</w:t>
      </w:r>
    </w:p>
    <w:p>
      <w:pPr>
        <w:pStyle w:val="Style7"/>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 даты его принятия.</w:t>
      </w:r>
    </w:p>
    <w:p>
      <w:pPr>
        <w:widowControl w:val="0"/>
        <w:spacing w:line="1" w:lineRule="exact"/>
        <w:sectPr>
          <w:footerReference w:type="default" r:id="rId11"/>
          <w:footerReference w:type="first" r:id="rId12"/>
          <w:footnotePr>
            <w:pos w:val="pageBottom"/>
            <w:numFmt w:val="decimal"/>
            <w:numRestart w:val="continuous"/>
          </w:footnotePr>
          <w:pgSz w:w="11900" w:h="16840"/>
          <w:pgMar w:top="1091" w:right="538" w:bottom="1307" w:left="1100" w:header="0" w:footer="3" w:gutter="0"/>
          <w:pgNumType w:start="1"/>
          <w:cols w:space="720"/>
          <w:noEndnote/>
          <w:titlePg/>
          <w:rtlGutter w:val="0"/>
          <w:docGrid w:linePitch="360"/>
        </w:sectPr>
      </w:pPr>
      <w:r>
        <mc:AlternateContent>
          <mc:Choice Requires="wps">
            <w:drawing>
              <wp:anchor distT="495300" distB="201295" distL="0" distR="0" simplePos="0" relativeHeight="125829383" behindDoc="0" locked="0" layoutInCell="1" allowOverlap="1">
                <wp:simplePos x="0" y="0"/>
                <wp:positionH relativeFrom="page">
                  <wp:posOffset>737870</wp:posOffset>
                </wp:positionH>
                <wp:positionV relativeFrom="paragraph">
                  <wp:posOffset>495300</wp:posOffset>
                </wp:positionV>
                <wp:extent cx="1828800" cy="252730"/>
                <wp:wrapTopAndBottom/>
                <wp:docPr id="15" name="Shape 1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100000000000001pt;margin-top:39.pt;width:144.pt;height:19.900000000000002pt;z-index:-125829370;mso-wrap-distance-left:0;mso-wrap-distance-top:39.pt;mso-wrap-distance-right:0;mso-wrap-distance-bottom:15.8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86740" distB="0" distL="0" distR="1807210" simplePos="0" relativeHeight="125829385" behindDoc="0" locked="0" layoutInCell="1" allowOverlap="1">
            <wp:simplePos x="0" y="0"/>
            <wp:positionH relativeFrom="page">
              <wp:posOffset>2682240</wp:posOffset>
            </wp:positionH>
            <wp:positionV relativeFrom="paragraph">
              <wp:posOffset>586740</wp:posOffset>
            </wp:positionV>
            <wp:extent cx="311150"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659765</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15000000000001pt;margin-top:51.950000000000003pt;width:135.84999999999999pt;height:20.150000000000002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95300" distB="201295" distL="0" distR="0" simplePos="0" relativeHeight="125829386" behindDoc="0" locked="0" layoutInCell="1" allowOverlap="1">
                <wp:simplePos x="0" y="0"/>
                <wp:positionH relativeFrom="page">
                  <wp:posOffset>5983605</wp:posOffset>
                </wp:positionH>
                <wp:positionV relativeFrom="paragraph">
                  <wp:posOffset>495300</wp:posOffset>
                </wp:positionV>
                <wp:extent cx="1203960" cy="252730"/>
                <wp:wrapTopAndBottom/>
                <wp:docPr id="21" name="Shape 21"/>
                <a:graphic xmlns:a="http://schemas.openxmlformats.org/drawingml/2006/main">
                  <a:graphicData uri="http://schemas.microsoft.com/office/word/2010/wordprocessingShape">
                    <wps:wsp>
                      <wps:cNvSpPr txBox="1"/>
                      <wps:spPr>
                        <a:xfrm>
                          <a:ext cx="120396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П.Э. Кошманов</w:t>
                            </w:r>
                          </w:p>
                        </w:txbxContent>
                      </wps:txbx>
                      <wps:bodyPr wrap="none" lIns="0" tIns="0" rIns="0" bIns="0">
                        <a:noAutoFit/>
                      </wps:bodyPr>
                    </wps:wsp>
                  </a:graphicData>
                </a:graphic>
              </wp:anchor>
            </w:drawing>
          </mc:Choice>
          <mc:Fallback>
            <w:pict>
              <v:shape id="_x0000_s1047" type="#_x0000_t202" style="position:absolute;margin-left:471.15000000000003pt;margin-top:39.pt;width:94.799999999999997pt;height:19.900000000000002pt;z-index:-125829367;mso-wrap-distance-left:0;mso-wrap-distance-top:39.pt;mso-wrap-distance-right:0;mso-wrap-distance-bottom:15.8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П.Э. Кошманов</w:t>
                      </w:r>
                    </w:p>
                  </w:txbxContent>
                </v:textbox>
                <w10:wrap type="topAndBottom" anchorx="page"/>
              </v:shape>
            </w:pict>
          </mc:Fallback>
        </mc:AlternateConten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Кошманов Павел Эдуардович</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5ВВ83427341373Е231 </w:t>
      </w:r>
      <w:r>
        <w:rPr>
          <w:color w:val="656565"/>
          <w:spacing w:val="0"/>
          <w:w w:val="100"/>
          <w:position w:val="0"/>
          <w:shd w:val="clear" w:color="auto" w:fill="auto"/>
          <w:lang w:val="ru-RU" w:eastAsia="ru-RU" w:bidi="ru-RU"/>
        </w:rPr>
        <w:t>Е93С7ВАСО819АЕ</w:t>
      </w:r>
    </w:p>
    <w:p>
      <w:pPr>
        <w:pStyle w:val="Style32"/>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02.05.2024 </w:t>
      </w:r>
      <w:r>
        <w:rPr>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26.07.2025</w:t>
      </w:r>
    </w:p>
    <w:p>
      <w:pPr>
        <w:widowControl w:val="0"/>
        <w:spacing w:line="1" w:lineRule="exact"/>
        <w:sectPr>
          <w:footnotePr>
            <w:pos w:val="pageBottom"/>
            <w:numFmt w:val="decimal"/>
            <w:numRestart w:val="continuous"/>
          </w:footnotePr>
          <w:type w:val="continuous"/>
          <w:pgSz w:w="11900" w:h="16840"/>
          <w:pgMar w:top="1105" w:right="550" w:bottom="6003" w:left="1106" w:header="0" w:footer="3" w:gutter="0"/>
          <w:cols w:space="720"/>
          <w:noEndnote/>
          <w:rtlGutter w:val="0"/>
          <w:docGrid w:linePitch="360"/>
        </w:sectPr>
      </w:pPr>
      <w:r>
        <mc:AlternateContent>
          <mc:Choice Requires="wps">
            <w:drawing>
              <wp:anchor distT="38100" distB="216535" distL="0" distR="0" simplePos="0" relativeHeight="125829388" behindDoc="0" locked="0" layoutInCell="1" allowOverlap="1">
                <wp:simplePos x="0" y="0"/>
                <wp:positionH relativeFrom="page">
                  <wp:posOffset>737870</wp:posOffset>
                </wp:positionH>
                <wp:positionV relativeFrom="paragraph">
                  <wp:posOffset>38100</wp:posOffset>
                </wp:positionV>
                <wp:extent cx="1341120" cy="252730"/>
                <wp:wrapTopAndBottom/>
                <wp:docPr id="23" name="Shape 23"/>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9" type="#_x0000_t202" style="position:absolute;margin-left:58.100000000000001pt;margin-top:3.pt;width:105.60000000000001pt;height:19.900000000000002pt;z-index:-125829365;mso-wrap-distance-left:0;mso-wrap-distance-top:3.pt;mso-wrap-distance-right:0;mso-wrap-distance-bottom:17.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11125" distB="0" distL="0" distR="1789430" simplePos="0" relativeHeight="125829390" behindDoc="0" locked="0" layoutInCell="1" allowOverlap="1">
            <wp:simplePos x="0" y="0"/>
            <wp:positionH relativeFrom="page">
              <wp:posOffset>2673350</wp:posOffset>
            </wp:positionH>
            <wp:positionV relativeFrom="paragraph">
              <wp:posOffset>111125</wp:posOffset>
            </wp:positionV>
            <wp:extent cx="341630"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4163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3075940</wp:posOffset>
                </wp:positionH>
                <wp:positionV relativeFrom="paragraph">
                  <wp:posOffset>202565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24242"/>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0000000000002pt;margin-top:15.950000000000001pt;width:135.84999999999999pt;height:20.150000000000002pt;z-index:25165773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24242"/>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8100" distB="216535" distL="0" distR="0" simplePos="0" relativeHeight="125829391" behindDoc="0" locked="0" layoutInCell="1" allowOverlap="1">
                <wp:simplePos x="0" y="0"/>
                <wp:positionH relativeFrom="page">
                  <wp:posOffset>6105525</wp:posOffset>
                </wp:positionH>
                <wp:positionV relativeFrom="paragraph">
                  <wp:posOffset>38100</wp:posOffset>
                </wp:positionV>
                <wp:extent cx="1082040" cy="252730"/>
                <wp:wrapTopAndBottom/>
                <wp:docPr id="29" name="Shape 29"/>
                <a:graphic xmlns:a="http://schemas.openxmlformats.org/drawingml/2006/main">
                  <a:graphicData uri="http://schemas.microsoft.com/office/word/2010/wordprocessingShape">
                    <wps:wsp>
                      <wps:cNvSpPr txBox="1"/>
                      <wps:spPr>
                        <a:xfrm>
                          <a:ext cx="108204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З.В. Николаев</w:t>
                            </w:r>
                          </w:p>
                        </w:txbxContent>
                      </wps:txbx>
                      <wps:bodyPr wrap="none" lIns="0" tIns="0" rIns="0" bIns="0">
                        <a:noAutoFit/>
                      </wps:bodyPr>
                    </wps:wsp>
                  </a:graphicData>
                </a:graphic>
              </wp:anchor>
            </w:drawing>
          </mc:Choice>
          <mc:Fallback>
            <w:pict>
              <v:shape id="_x0000_s1055" type="#_x0000_t202" style="position:absolute;margin-left:480.75pt;margin-top:3.pt;width:85.200000000000003pt;height:19.900000000000002pt;z-index:-125829362;mso-wrap-distance-left:0;mso-wrap-distance-top:3.pt;mso-wrap-distance-right:0;mso-wrap-distance-bottom:17.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З.В. Николаев</w:t>
                      </w:r>
                    </w:p>
                  </w:txbxContent>
                </v:textbox>
                <w10:wrap type="topAndBottom" anchorx="page"/>
              </v:shape>
            </w:pict>
          </mc:Fallback>
        </mc:AlternateConten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Николаев Захар Валерьевич</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2С6А0С282С6Е50СА7АВ5АЕ84643Е218В</w:t>
      </w:r>
    </w:p>
    <w:p>
      <w:pPr>
        <w:pStyle w:val="Style32"/>
        <w:keepNext w:val="0"/>
        <w:keepLines w:val="0"/>
        <w:widowControl w:val="0"/>
        <w:shd w:val="clear" w:color="auto" w:fill="auto"/>
        <w:bidi w:val="0"/>
        <w:spacing w:before="0" w:after="14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01.02.2024 по 26.04.2025</w:t>
      </w:r>
    </w:p>
    <w:p>
      <w:pPr>
        <w:pStyle w:val="Style7"/>
        <w:keepNext w:val="0"/>
        <w:keepLines w:val="0"/>
        <w:widowControl w:val="0"/>
        <w:shd w:val="clear" w:color="auto" w:fill="auto"/>
        <w:bidi w:val="0"/>
        <w:spacing w:before="0" w:after="370" w:line="240" w:lineRule="auto"/>
        <w:ind w:left="1220" w:right="0" w:firstLine="0"/>
        <w:jc w:val="left"/>
      </w:pPr>
      <w:r>
        <w:drawing>
          <wp:anchor distT="0" distB="0" distL="114300" distR="1921510" simplePos="0" relativeHeight="125829393" behindDoc="0" locked="0" layoutInCell="1" allowOverlap="1">
            <wp:simplePos x="0" y="0"/>
            <wp:positionH relativeFrom="page">
              <wp:posOffset>2682240</wp:posOffset>
            </wp:positionH>
            <wp:positionV relativeFrom="paragraph">
              <wp:posOffset>76200</wp:posOffset>
            </wp:positionV>
            <wp:extent cx="311150" cy="36576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149225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15000000000001pt;margin-top:11.75pt;width:135.84999999999999pt;height:20.150000000000002pt;z-index:25165773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Шапошникова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Медведева Анастасия Андреевна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7ЕЭЕЕ647963ВЕС903Е86ОСВЕ1В0Э3822</w:t>
      </w:r>
    </w:p>
    <w:p>
      <w:pPr>
        <w:pStyle w:val="Style32"/>
        <w:keepNext w:val="0"/>
        <w:keepLines w:val="0"/>
        <w:widowControl w:val="0"/>
        <w:shd w:val="clear" w:color="auto" w:fill="auto"/>
        <w:bidi w:val="0"/>
        <w:spacing w:before="0" w:after="6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15.01.2024 </w:t>
      </w:r>
      <w:r>
        <w:rPr>
          <w:color w:val="000000"/>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09.04.2025</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10007600</wp:posOffset>
              </wp:positionV>
              <wp:extent cx="560705" cy="100330"/>
              <wp:wrapNone/>
              <wp:docPr id="11" name="Shape 11"/>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2025-591</w:t>
                          </w:r>
                        </w:p>
                      </w:txbxContent>
                    </wps:txbx>
                    <wps:bodyPr wrap="none" lIns="0" tIns="0" rIns="0" bIns="0">
                      <a:spAutoFit/>
                    </wps:bodyPr>
                  </wps:wsp>
                </a:graphicData>
              </a:graphic>
            </wp:anchor>
          </w:drawing>
        </mc:Choice>
        <mc:Fallback>
          <w:pict>
            <v:shape id="_x0000_s1037" type="#_x0000_t202" style="position:absolute;margin-left:57.149999999999999pt;margin-top:788.pt;width:44.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9926955</wp:posOffset>
              </wp:positionV>
              <wp:extent cx="560705" cy="100330"/>
              <wp:wrapNone/>
              <wp:docPr id="13" name="Shape 13"/>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2025-591</w:t>
                          </w:r>
                        </w:p>
                      </w:txbxContent>
                    </wps:txbx>
                    <wps:bodyPr wrap="none" lIns="0" tIns="0" rIns="0" bIns="0">
                      <a:spAutoFit/>
                    </wps:bodyPr>
                  </wps:wsp>
                </a:graphicData>
              </a:graphic>
            </wp:anchor>
          </w:drawing>
        </mc:Choice>
        <mc:Fallback>
          <w:pict>
            <v:shape id="_x0000_s1039" type="#_x0000_t202" style="position:absolute;margin-left:56.899999999999999pt;margin-top:781.64999999999998pt;width:44.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bCs/>
      <w:i w:val="0"/>
      <w:iCs w:val="0"/>
      <w:smallCaps w:val="0"/>
      <w:strike w:val="0"/>
      <w:color w:val="45609A"/>
      <w:sz w:val="17"/>
      <w:szCs w:val="17"/>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5609A"/>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Подпись к картинке_"/>
    <w:basedOn w:val="DefaultParagraphFont"/>
    <w:link w:val="Style10"/>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 (6)_"/>
    <w:basedOn w:val="DefaultParagraphFont"/>
    <w:link w:val="Style22"/>
    <w:rPr>
      <w:rFonts w:ascii="Times New Roman" w:eastAsia="Times New Roman" w:hAnsi="Times New Roman" w:cs="Times New Roman"/>
      <w:b w:val="0"/>
      <w:bCs w:val="0"/>
      <w:i w:val="0"/>
      <w:iCs w:val="0"/>
      <w:smallCaps w:val="0"/>
      <w:strike w:val="0"/>
      <w:sz w:val="15"/>
      <w:szCs w:val="15"/>
      <w:u w:val="none"/>
    </w:rPr>
  </w:style>
  <w:style w:type="character" w:customStyle="1" w:styleId="CharStyle31">
    <w:name w:val="Основной текст (4)_"/>
    <w:basedOn w:val="DefaultParagraphFont"/>
    <w:link w:val="Style30"/>
    <w:rPr>
      <w:rFonts w:ascii="Georgia" w:eastAsia="Georgia" w:hAnsi="Georgia" w:cs="Georgia"/>
      <w:b w:val="0"/>
      <w:bCs w:val="0"/>
      <w:i w:val="0"/>
      <w:iCs w:val="0"/>
      <w:smallCaps w:val="0"/>
      <w:strike w:val="0"/>
      <w:color w:val="EAEAEA"/>
      <w:sz w:val="12"/>
      <w:szCs w:val="12"/>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424242"/>
      <w:sz w:val="12"/>
      <w:szCs w:val="12"/>
      <w:u w:val="none"/>
    </w:rPr>
  </w:style>
  <w:style w:type="paragraph" w:customStyle="1" w:styleId="Style2">
    <w:name w:val="Основной текст (5)"/>
    <w:basedOn w:val="Normal"/>
    <w:link w:val="CharStyle3"/>
    <w:pPr>
      <w:widowControl w:val="0"/>
      <w:shd w:val="clear" w:color="auto" w:fill="auto"/>
      <w:spacing w:after="120" w:line="295" w:lineRule="auto"/>
      <w:jc w:val="center"/>
    </w:pPr>
    <w:rPr>
      <w:rFonts w:ascii="Times New Roman" w:eastAsia="Times New Roman" w:hAnsi="Times New Roman" w:cs="Times New Roman"/>
      <w:b/>
      <w:bCs/>
      <w:i w:val="0"/>
      <w:iCs w:val="0"/>
      <w:smallCaps w:val="0"/>
      <w:strike w:val="0"/>
      <w:color w:val="45609A"/>
      <w:sz w:val="17"/>
      <w:szCs w:val="17"/>
      <w:u w:val="none"/>
    </w:rPr>
  </w:style>
  <w:style w:type="paragraph" w:customStyle="1" w:styleId="Style4">
    <w:name w:val="Основной текст (3)"/>
    <w:basedOn w:val="Normal"/>
    <w:link w:val="CharStyle5"/>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5609A"/>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Подпись к картинке"/>
    <w:basedOn w:val="Normal"/>
    <w:link w:val="CharStyle1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6)"/>
    <w:basedOn w:val="Normal"/>
    <w:link w:val="CharStyle23"/>
    <w:pPr>
      <w:widowControl w:val="0"/>
      <w:shd w:val="clear" w:color="auto" w:fill="auto"/>
      <w:spacing w:line="72" w:lineRule="exact"/>
      <w:ind w:left="2920" w:hanging="200"/>
    </w:pPr>
    <w:rPr>
      <w:rFonts w:ascii="Times New Roman" w:eastAsia="Times New Roman" w:hAnsi="Times New Roman" w:cs="Times New Roman"/>
      <w:b w:val="0"/>
      <w:bCs w:val="0"/>
      <w:i w:val="0"/>
      <w:iCs w:val="0"/>
      <w:smallCaps w:val="0"/>
      <w:strike w:val="0"/>
      <w:sz w:val="15"/>
      <w:szCs w:val="15"/>
      <w:u w:val="none"/>
    </w:rPr>
  </w:style>
  <w:style w:type="paragraph" w:customStyle="1" w:styleId="Style30">
    <w:name w:val="Основной текст (4)"/>
    <w:basedOn w:val="Normal"/>
    <w:link w:val="CharStyle31"/>
    <w:pPr>
      <w:widowControl w:val="0"/>
      <w:shd w:val="clear" w:color="auto" w:fill="auto"/>
      <w:spacing w:after="100"/>
      <w:ind w:left="3820"/>
    </w:pPr>
    <w:rPr>
      <w:rFonts w:ascii="Georgia" w:eastAsia="Georgia" w:hAnsi="Georgia" w:cs="Georgia"/>
      <w:b w:val="0"/>
      <w:bCs w:val="0"/>
      <w:i w:val="0"/>
      <w:iCs w:val="0"/>
      <w:smallCaps w:val="0"/>
      <w:strike w:val="0"/>
      <w:color w:val="EAEAEA"/>
      <w:sz w:val="12"/>
      <w:szCs w:val="12"/>
      <w:u w:val="none"/>
    </w:rPr>
  </w:style>
  <w:style w:type="paragraph" w:customStyle="1" w:styleId="Style32">
    <w:name w:val="Основной текст (2)"/>
    <w:basedOn w:val="Normal"/>
    <w:link w:val="CharStyle33"/>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s>
</file>

<file path=docProps/core.xml><?xml version="1.0" encoding="utf-8"?>
<cp:coreProperties xmlns:cp="http://schemas.openxmlformats.org/package/2006/metadata/core-properties" xmlns:dc="http://purl.org/dc/elements/1.1/">
  <dc:title>Решение Московского УФАС России от 24.09.2024 по делу N 077/06/106-12795/2024Обстоятельства: По мнению Заявителя, комиссией Заказчика неправомерно оценена заявка Заявителя по детализирующему показателю "Характеристика квалификации участников закупки (общая цена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 поскол</dc:title>
  <dc:subject/>
  <dc:creator/>
  <cp:keywords/>
</cp:coreProperties>
</file>