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1776730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92480" distL="114300" distR="132715" simplePos="0" relativeHeight="125829379" behindDoc="0" locked="0" layoutInCell="1" allowOverlap="1">
                <wp:simplePos x="0" y="0"/>
                <wp:positionH relativeFrom="page">
                  <wp:posOffset>725170</wp:posOffset>
                </wp:positionH>
                <wp:positionV relativeFrom="paragraph">
                  <wp:posOffset>728980</wp:posOffset>
                </wp:positionV>
                <wp:extent cx="2578735" cy="1752600"/>
                <wp:wrapSquare wrapText="right"/>
                <wp:docPr id="3" name="Shape 3"/>
                <a:graphic xmlns:a="http://schemas.openxmlformats.org/drawingml/2006/main">
                  <a:graphicData uri="http://schemas.microsoft.com/office/word/2010/wordprocessingShape">
                    <wps:wsp>
                      <wps:cNvSpPr txBox="1"/>
                      <wps:spPr>
                        <a:xfrm>
                          <a:ext cx="2578735" cy="175260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100000000000001pt;margin-top:57.399999999999999pt;width:203.05000000000001pt;height:138.pt;z-index:-125829374;mso-wrap-distance-left:9.pt;mso-wrap-distance-top:56.399999999999999pt;mso-wrap-distance-right:10.450000000000001pt;mso-wrap-distance-bottom:62.39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728345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725170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7.100000000000001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v:textbox>
                <w10:wrap anchorx="page"/>
              </v:shape>
            </w:pict>
          </mc:Fallback>
        </mc:AlternateConten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ИП Берг П.В.</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ул. Ирбейская, д. 44, г. Красноярск, 660067</w:t>
      </w:r>
    </w:p>
    <w:p>
      <w:pPr>
        <w:pStyle w:val="Style10"/>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рЬегд@Ьк.ш</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Агентство государственного заказа</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Красноярского края</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пр-т. Мира, д. 10, оф. 53, г. Красноярск, 660049</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адх_рпет@таП.ш;</w:t>
      </w:r>
    </w:p>
    <w:p>
      <w:pPr>
        <w:pStyle w:val="Style10"/>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адх_уогоЬеу@таП.ш</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КГКУ «Управление капитального</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строительства»</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ул. Ады Лебедевой, д. 101А,</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г. Красноярск, 660099</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ик8кгау@таП.ги;</w:t>
      </w:r>
    </w:p>
    <w:p>
      <w:pPr>
        <w:pStyle w:val="Style10"/>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хакирИ-кга8ик8@таП.ш</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z w:val="24"/>
          <w:szCs w:val="24"/>
          <w:shd w:val="clear" w:color="auto" w:fill="auto"/>
          <w:lang w:val="ru-RU" w:eastAsia="ru-RU" w:bidi="ru-RU"/>
        </w:rPr>
        <w:t>ООО «РТС-тендер»</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z w:val="24"/>
          <w:szCs w:val="24"/>
          <w:shd w:val="clear" w:color="auto" w:fill="auto"/>
          <w:lang w:val="ru-RU" w:eastAsia="ru-RU" w:bidi="ru-RU"/>
        </w:rPr>
        <w:t>ко@118-1епдег.ш;</w:t>
      </w:r>
    </w:p>
    <w:p>
      <w:pPr>
        <w:pStyle w:val="Style10"/>
        <w:keepNext w:val="0"/>
        <w:keepLines w:val="0"/>
        <w:widowControl w:val="0"/>
        <w:shd w:val="clear" w:color="auto" w:fill="auto"/>
        <w:bidi w:val="0"/>
        <w:spacing w:before="0" w:after="1120" w:line="240" w:lineRule="auto"/>
        <w:ind w:left="5320" w:right="0" w:firstLine="0"/>
        <w:jc w:val="left"/>
      </w:pPr>
      <w:r>
        <w:rPr>
          <w:color w:val="000000"/>
          <w:spacing w:val="0"/>
          <w:w w:val="100"/>
          <w:position w:val="0"/>
          <w:sz w:val="24"/>
          <w:szCs w:val="24"/>
          <w:shd w:val="clear" w:color="auto" w:fill="auto"/>
          <w:lang w:val="ru-RU" w:eastAsia="ru-RU" w:bidi="ru-RU"/>
        </w:rPr>
        <w:t>тГо@1Д8-1епдег.ш</w:t>
      </w:r>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 024/06/106-162/2024</w:t>
      </w:r>
    </w:p>
    <w:p>
      <w:pPr>
        <w:pStyle w:val="Style10"/>
        <w:keepNext w:val="0"/>
        <w:keepLines w:val="0"/>
        <w:widowControl w:val="0"/>
        <w:shd w:val="clear" w:color="auto" w:fill="auto"/>
        <w:bidi w:val="0"/>
        <w:spacing w:before="0" w:after="320" w:line="240" w:lineRule="auto"/>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6278880</wp:posOffset>
                </wp:positionH>
                <wp:positionV relativeFrom="paragraph">
                  <wp:posOffset>12700</wp:posOffset>
                </wp:positionV>
                <wp:extent cx="905510" cy="210185"/>
                <wp:wrapSquare wrapText="left"/>
                <wp:docPr id="9" name="Shape 9"/>
                <a:graphic xmlns:a="http://schemas.openxmlformats.org/drawingml/2006/main">
                  <a:graphicData uri="http://schemas.microsoft.com/office/word/2010/wordprocessingShape">
                    <wps:wsp>
                      <wps:cNvSpPr txBox="1"/>
                      <wps:spPr>
                        <a:xfrm>
                          <a:ext cx="905510" cy="21018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5" type="#_x0000_t202" style="position:absolute;margin-left:494.40000000000003pt;margin-top:1.pt;width:71.299999999999997pt;height:16.550000000000001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24 января 2025 года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заместитель руководителя управления М.А. Дударева, члены Комиссии — главный государственный инспектор Е.М. Хоменко, ведущий специалист эксперт, А.А. Грузиненко (далее - Комиссия), рассмотрев жалобу ИП Берга П.В. (далее - податель жалобы) на действия аукционной комиссии уполномоченного органа - Агентства государственного заказа Красноярского края (далее — аукционная комиссия, уполномоченный орган), заказчика - КГКУ «Управление капитального строительства» (далее — заказчики) при проведении электронного аукциона ЭА-№-24262/24 «Поставка светильников передвижных для проведения осмотра/терапевтических процедур на строящийся объект: Поликлиника в Свердловском районе г. Красноярска с инженерными сетями» (далее - электронный аукцион), извещение №0119200000124023790 на электронной торговой площадке ООО «РТС-тендер» (далее - оператор электронной площадки), установила следующее.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Существо жалобы: нарушение аукционной комиссией порядка рассмотрения заявок на участие в аукционе.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Жалоба была подана в Красноярское УФАС России в срок, установленный частью 2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соответствовала требованиям части 4 статьи 105 указанного закона, в связи с чем была принята к рассмотрению по существу.</w:t>
      </w:r>
    </w:p>
    <w:p>
      <w:pPr>
        <w:pStyle w:val="Style10"/>
        <w:keepNext w:val="0"/>
        <w:keepLines w:val="0"/>
        <w:widowControl w:val="0"/>
        <w:shd w:val="clear" w:color="auto" w:fill="auto"/>
        <w:bidi w:val="0"/>
        <w:spacing w:before="0" w:after="320" w:line="240" w:lineRule="auto"/>
        <w:ind w:left="0" w:right="0" w:firstLine="740"/>
        <w:jc w:val="both"/>
      </w:pPr>
      <w:r>
        <w:rPr>
          <w:color w:val="000000"/>
          <w:spacing w:val="0"/>
          <w:w w:val="100"/>
          <w:position w:val="0"/>
          <w:sz w:val="24"/>
          <w:szCs w:val="24"/>
          <w:shd w:val="clear" w:color="auto" w:fill="auto"/>
          <w:lang w:val="ru-RU" w:eastAsia="ru-RU" w:bidi="ru-RU"/>
        </w:rPr>
        <w:t>В адреса подателя жалобы, заказчика, уполномоченного органа, оператора электронной площадки было направлено уведомление о содержании жалобы с информацией о месте и времени</w:t>
      </w:r>
    </w:p>
    <w:p>
      <w:pPr>
        <w:pStyle w:val="Style15"/>
        <w:keepNext/>
        <w:keepLines/>
        <w:widowControl w:val="0"/>
        <w:shd w:val="clear" w:color="auto" w:fill="auto"/>
        <w:bidi w:val="0"/>
        <w:spacing w:before="0" w:after="0" w:line="240" w:lineRule="auto"/>
        <w:ind w:left="0" w:right="0" w:firstLine="0"/>
        <w:jc w:val="both"/>
        <w:rPr>
          <w:sz w:val="24"/>
          <w:szCs w:val="24"/>
        </w:rPr>
      </w:pPr>
      <w:bookmarkStart w:id="0" w:name="bookmark0"/>
      <w:r>
        <w:rPr>
          <w:color w:val="000000"/>
          <w:spacing w:val="0"/>
          <w:w w:val="100"/>
          <w:position w:val="0"/>
          <w:sz w:val="38"/>
          <w:szCs w:val="38"/>
          <w:shd w:val="clear" w:color="auto" w:fill="auto"/>
          <w:lang w:val="ru-RU" w:eastAsia="ru-RU" w:bidi="ru-RU"/>
        </w:rPr>
        <w:t>||||||||||||||||||||||||</w:t>
      </w:r>
      <w:bookmarkEnd w:id="0"/>
      <w:r>
        <w:rPr>
          <w:color w:val="000000"/>
          <w:spacing w:val="0"/>
          <w:w w:val="100"/>
          <w:position w:val="0"/>
          <w:sz w:val="38"/>
          <w:szCs w:val="38"/>
          <w:shd w:val="clear" w:color="auto" w:fill="auto"/>
          <w:lang w:val="ru-RU" w:eastAsia="ru-RU" w:bidi="ru-RU"/>
        </w:rPr>
        <w:t xml:space="preserve"> </w:t>
      </w:r>
      <w:r>
        <w:rPr>
          <w:rStyle w:val="CharStyle11"/>
        </w:rPr>
        <w:t>ее рассмотрения (далее — Уведомление).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Заказчику, уполномоченному органу,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заседании Комиссии по рассмотрению жалобы по существу уполномоченный орган обеспечил явку своих представителей. Податель жалобы, заказчик явку своих представителя обеспечили, направили в адрес Красноярского УФАС России ходатайства о рассмотрении жалобы посредством ВКС.</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содержании жалобы указан следующий довод:</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по мнению подателя жалобы, аукционная комиссия неправомерно отклонила его заявку на участие в аукционе по причине предоставления выписки из реестра российской радиоэлектронной продукции срок действия которой истек. Податель считает, что им также была представлена действующая выписка из реестра российской промышленной продукции, предоставление которых для подтверждения производства радиоэлектронной продукции на территории Российской Федерации возможно с 01.01.2025.</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Заказчиком, уполномоченным органом были представлены письменные возражения с приложением подтверждающих документов в отношении доводов жалобы, из которых следует, что аукционная комиссия рассматривала заявки участников в соответствии с требованиями Закона о контрактной системе .</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связи с возникшей у заказчика потребностью уполномоченным органом были совершены действия по проведению электронного аукциона с установлением начальной (максимальной) цены контракта в размере 1 709 400,00 рублей.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подпункту а пункта 1 части 5 статьи 49 Закона о контрактной системе аукционная комиссия при рассмотрении заявок на участие в закупке принимает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пунктами 1, 5 части 2 статьи 42 Закона о контрактной системе извещение об осуществлении закупки, если иное не предусмотрено настоящим Законом о контрактной системе, должно содержать описание объекта закупки в соответствии со статьей 33 Закона о контрактной системе, проект контракта.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срок исполнения контракта (отдельных этапов исполнения контракта, если проектом контракта предусмотрены такие этапы) (пункт 8 части 1 статьи 42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sectPr>
          <w:footerReference w:type="default" r:id="rId9"/>
          <w:footerReference w:type="first" r:id="rId10"/>
          <w:footnotePr>
            <w:pos w:val="pageBottom"/>
            <w:numFmt w:val="decimal"/>
            <w:numRestart w:val="continuous"/>
          </w:footnotePr>
          <w:pgSz w:w="11900" w:h="16840"/>
          <w:pgMar w:top="967" w:right="539" w:bottom="1264" w:left="1099" w:header="0" w:footer="3" w:gutter="0"/>
          <w:pgNumType w:start="1"/>
          <w:cols w:space="720"/>
          <w:noEndnote/>
          <w:titlePg/>
          <w:rtlGutter w:val="0"/>
          <w:docGrid w:linePitch="360"/>
        </w:sectPr>
      </w:pPr>
      <w:r>
        <w:rPr>
          <w:color w:val="000000"/>
          <w:spacing w:val="0"/>
          <w:w w:val="100"/>
          <w:position w:val="0"/>
          <w:sz w:val="24"/>
          <w:szCs w:val="24"/>
          <w:shd w:val="clear" w:color="auto" w:fill="auto"/>
          <w:lang w:val="ru-RU" w:eastAsia="ru-RU" w:bidi="ru-RU"/>
        </w:rPr>
        <w:t>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не предусмотрены (часть 1 статьи 34 Закона о контрактной системе).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анализа положений извещения о проведении электронного аукциона, сформированных с использованием ЕИС при заполнении экранных форм веб-интерфейса ЕИС (часть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а также при прикреплении электронных документов (часть 2 статьи 42 Закона о контрактной системе, пункт 4 вышеуказанного Положения), Комиссия установила, что заказчиком осуществляется закупка светильников передвижных для проведения осмотра/терапевтических процедур (ОКПД2 — 27.40.39.110 КТРУ — 27.40.39.110-00000002).</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пункту 2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(вместе с «Правилами формирования и ведения единого реестра российской радиоэлектронной продукции») (далее — Постановление №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Согласно позиции 129 данного перечня продукция, имеющая ОКПД2 27.40.39.110 включена в перечень радиоэлектронной продукции, происходящей из иностранных государств (за исключением государств - членов евразийского экономического союза), в отношении которой устанавливается ограничения на допуск для целей осуществления закупок для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пунктом 3(2) Постановления № 878 подтверждением страны происхождения радиоэлектронной продукции является наличие сведений о такой продукции в едином реестре российской радиоэлектронной продукции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пункту 3(3) Постановления № 878 для подтверждения соответствия радиоэлектронной продукции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Проведя анализ заявки подателя жалобы на участие в данном аукционе, Комиссия Красноярского УФАС России установила, что им в структурированной форме заявки была указана реестровая запись № РЭ-7731/22. Данная реестровая запись относится к старому реестру радиоэлектронной продукции, в котором под этим номером указана продукция «Светильник смотровой передвижной «ЭМАЛЕД 100 П» (с блоком аварийного питания)», соответствующая заявленному наименованию в заявке подателя жалобы. При этом Комиссией при изучении реестровой записи установлено, что срок действия данной реестровой записи истек 31.03.2023.</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подателем жалобы в составе своей заявки также была приложена реестровая запись № 10221891 «Светильник смотровой передвижной «ЭМАЛЕД 100 П» (с блоком аварийного питания)», содержащаяся в реестре российской промышленной продукции. Однако согласно пункту 3(2) Постановления № 878 участником закупки должна быть указана реестровая запись из реестра российской радиоэлектронной продукции. Таким образом, Комиссия приходит к выводу о том, что указанная подателем жалобы реестровая запись не могла быть принята аукционной комиссией как подтверждение происхождения предлагаемого товара на территории Российской Федерации согласно требованиям Постановления № 878.</w:t>
      </w:r>
    </w:p>
    <w:p>
      <w:pPr>
        <w:pStyle w:val="Style10"/>
        <w:keepNext w:val="0"/>
        <w:keepLines w:val="0"/>
        <w:widowControl w:val="0"/>
        <w:shd w:val="clear" w:color="auto" w:fill="auto"/>
        <w:bidi w:val="0"/>
        <w:spacing w:before="0" w:after="0" w:line="288" w:lineRule="auto"/>
        <w:ind w:left="0" w:right="0" w:firstLine="580"/>
        <w:jc w:val="both"/>
        <w:sectPr>
          <w:footerReference w:type="default" r:id="rId11"/>
          <w:footnotePr>
            <w:pos w:val="pageBottom"/>
            <w:numFmt w:val="decimal"/>
            <w:numRestart w:val="continuous"/>
          </w:footnotePr>
          <w:pgSz w:w="11900" w:h="16840"/>
          <w:pgMar w:top="1119" w:right="546" w:bottom="583" w:left="1106" w:header="691" w:footer="155" w:gutter="0"/>
          <w:cols w:space="720"/>
          <w:noEndnote/>
          <w:rtlGutter w:val="0"/>
          <w:docGrid w:linePitch="360"/>
        </w:sectPr>
      </w:pPr>
      <w:r>
        <w:rPr>
          <w:color w:val="000000"/>
          <w:spacing w:val="0"/>
          <w:w w:val="100"/>
          <w:position w:val="0"/>
          <w:sz w:val="24"/>
          <w:szCs w:val="24"/>
          <w:shd w:val="clear" w:color="auto" w:fill="auto"/>
          <w:lang w:val="ru-RU" w:eastAsia="ru-RU" w:bidi="ru-RU"/>
        </w:rPr>
        <w:t>Вместе с тем, с 1 января 2025 года, как справедливо указывает податель жалобы, вступило в силу Постановление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2025-1057</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юридических лиц» (далее — Постановление 1875). Согласно пункту 18 перечня утративших силу актов и отдельных положений актов Правительства Российской Федерации, являющегося приложением к Постановлению № 1875, пункты 3-3(3) Постановления № 878 утратили силу, в связи с чем, участники закупок с 01.01.2025 имеют право для подтверждения происхождения радиоэлектронной продукции представлять выписки из реестра российской промышленной продукции в соответствии с абзацем «а» пункта 3 Постановления № 1875.</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согласно пункту 10 Постановления № 1875 правила указанного постановления применяются к отношениям, связанным с осуществлением закупок, извещения об осуществлении которых размещены в единой информационной системе после дня вступления в силу настоящего постановления.</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информации, размещенной в ЕИС, обжалуемая закупка была размещена 23.12.2024, до даты вступления в силу Постановления № 1875. Таким образом, к указанной закупке должны применяться нормы Постановления № 878.</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Участником закупки под номером 117993871 была представлена действующая выписка из реестра российской радиоэлектронной продукции. На основании этого в соответствии с пунктом 3 Постановления № 878 заявки иных участников закупки, не представивших действующие реестровые записи из реестра российской радиоэлектронной продукции, подлежат отклонению аукционной комиссией. Представленная подателем жалобы реестровая запись имела истекший срок действия на момент рассмотрения заявок, в связи с чем заявка подателя жалобы подлежала отклонению.</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указанных выше обстоятельствах аукционная комиссия, действуя добросовестно, правомерно отклонила заявку ИП Берга П.В. на основании представления выписки из реестра российской радиоэлектронной продукции с истекшим сроком действия.</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3, частью 15 статьи 99, частью 8 статьи 106 Закона о контрактной системе, Комиссия Красноярского УФАС России решила признать жалобу ИП Берга П.В. необоснованной.</w:t>
      </w:r>
    </w:p>
    <w:p>
      <w:pPr>
        <w:pStyle w:val="Style10"/>
        <w:keepNext w:val="0"/>
        <w:keepLines w:val="0"/>
        <w:widowControl w:val="0"/>
        <w:shd w:val="clear" w:color="auto" w:fill="auto"/>
        <w:bidi w:val="0"/>
        <w:spacing w:before="0" w:after="300" w:line="240" w:lineRule="auto"/>
        <w:ind w:left="0" w:right="0" w:firstLine="58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r>
    </w:p>
    <w:p>
      <w:pPr>
        <w:pStyle w:val="Style10"/>
        <w:keepNext w:val="0"/>
        <w:keepLines w:val="0"/>
        <w:widowControl w:val="0"/>
        <w:shd w:val="clear" w:color="auto" w:fill="auto"/>
        <w:bidi w:val="0"/>
        <w:spacing w:before="0" w:after="80" w:line="180" w:lineRule="auto"/>
        <w:ind w:left="0" w:right="0" w:firstLine="0"/>
        <w:jc w:val="right"/>
      </w:pPr>
      <w:r>
        <w:rPr>
          <w:color w:val="000000"/>
          <w:spacing w:val="0"/>
          <w:w w:val="100"/>
          <w:position w:val="0"/>
          <w:sz w:val="24"/>
          <w:szCs w:val="24"/>
          <w:shd w:val="clear" w:color="auto" w:fill="auto"/>
          <w:lang w:val="ru-RU" w:eastAsia="ru-RU" w:bidi="ru-RU"/>
        </w:rPr>
        <w:t>М.А. Дударева</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after="360" w:line="240" w:lineRule="auto"/>
        <w:ind w:left="0" w:right="0" w:firstLine="0"/>
        <w:jc w:val="right"/>
      </w:pPr>
      <w:r>
        <w:rPr>
          <w:color w:val="000000"/>
          <w:spacing w:val="0"/>
          <w:w w:val="100"/>
          <w:position w:val="0"/>
          <w:sz w:val="24"/>
          <w:szCs w:val="24"/>
          <w:shd w:val="clear" w:color="auto" w:fill="auto"/>
          <w:lang w:val="ru-RU" w:eastAsia="ru-RU" w:bidi="ru-RU"/>
        </w:rPr>
        <w:t>Е.М. Хоменко</w:t>
      </w:r>
    </w:p>
    <w:p>
      <w:pPr>
        <w:pStyle w:val="Style10"/>
        <w:keepNext w:val="0"/>
        <w:keepLines w:val="0"/>
        <w:widowControl w:val="0"/>
        <w:shd w:val="clear" w:color="auto" w:fill="auto"/>
        <w:bidi w:val="0"/>
        <w:spacing w:before="0" w:after="3900" w:line="240" w:lineRule="auto"/>
        <w:ind w:left="0" w:right="0" w:firstLine="0"/>
        <w:jc w:val="right"/>
      </w:pPr>
      <w:r>
        <w:rPr>
          <w:color w:val="000000"/>
          <w:spacing w:val="0"/>
          <w:w w:val="100"/>
          <w:position w:val="0"/>
          <w:sz w:val="24"/>
          <w:szCs w:val="24"/>
          <w:shd w:val="clear" w:color="auto" w:fill="auto"/>
          <w:lang w:val="ru-RU" w:eastAsia="ru-RU" w:bidi="ru-RU"/>
        </w:rPr>
        <w:t>А.А. Грузиненко</w:t>
      </w:r>
    </w:p>
    <w:p>
      <w:pPr>
        <w:pStyle w:val="Style10"/>
        <w:keepNext w:val="0"/>
        <w:keepLines w:val="0"/>
        <w:widowControl w:val="0"/>
        <w:shd w:val="clear" w:color="auto" w:fill="auto"/>
        <w:bidi w:val="0"/>
        <w:spacing w:before="0" w:after="34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Исп.Грузиненко А.А.</w:t>
      </w:r>
    </w:p>
    <w:p>
      <w:pPr>
        <w:pStyle w:val="Style1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тел.211-01-44</w:t>
      </w:r>
    </w:p>
    <w:sectPr>
      <w:footerReference w:type="default" r:id="rId12"/>
      <w:footnotePr>
        <w:pos w:val="pageBottom"/>
        <w:numFmt w:val="decimal"/>
        <w:numRestart w:val="continuous"/>
      </w:footnotePr>
      <w:pgSz w:w="11900" w:h="16840"/>
      <w:pgMar w:top="1118" w:right="546" w:bottom="1165" w:left="1106" w:header="69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10017125</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2025-1057</w:t>
                          </w:r>
                        </w:p>
                      </w:txbxContent>
                    </wps:txbx>
                    <wps:bodyPr wrap="none" lIns="0" tIns="0" rIns="0" bIns="0">
                      <a:spAutoFit/>
                    </wps:bodyPr>
                  </wps:wsp>
                </a:graphicData>
              </a:graphic>
            </wp:anchor>
          </w:drawing>
        </mc:Choice>
        <mc:Fallback>
          <w:pict>
            <v:shape id="_x0000_s1037" type="#_x0000_t202" style="position:absolute;margin-left:56.850000000000001pt;margin-top:788.7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2025-1057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725170</wp:posOffset>
              </wp:positionH>
              <wp:positionV relativeFrom="page">
                <wp:posOffset>9954260</wp:posOffset>
              </wp:positionV>
              <wp:extent cx="648970" cy="100330"/>
              <wp:wrapNone/>
              <wp:docPr id="13" name="Shape 1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2025-1057</w:t>
                          </w:r>
                        </w:p>
                      </w:txbxContent>
                    </wps:txbx>
                    <wps:bodyPr wrap="none" lIns="0" tIns="0" rIns="0" bIns="0">
                      <a:spAutoFit/>
                    </wps:bodyPr>
                  </wps:wsp>
                </a:graphicData>
              </a:graphic>
            </wp:anchor>
          </w:drawing>
        </mc:Choice>
        <mc:Fallback>
          <w:pict>
            <v:shape id="_x0000_s1039" type="#_x0000_t202" style="position:absolute;margin-left:57.100000000000001pt;margin-top:783.80000000000007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2025-1057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721995</wp:posOffset>
              </wp:positionH>
              <wp:positionV relativeFrom="page">
                <wp:posOffset>10017125</wp:posOffset>
              </wp:positionV>
              <wp:extent cx="648970" cy="100330"/>
              <wp:wrapNone/>
              <wp:docPr id="15" name="Shape 1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2025-1057</w:t>
                          </w:r>
                        </w:p>
                      </w:txbxContent>
                    </wps:txbx>
                    <wps:bodyPr wrap="none" lIns="0" tIns="0" rIns="0" bIns="0">
                      <a:spAutoFit/>
                    </wps:bodyPr>
                  </wps:wsp>
                </a:graphicData>
              </a:graphic>
            </wp:anchor>
          </w:drawing>
        </mc:Choice>
        <mc:Fallback>
          <w:pict>
            <v:shape id="_x0000_s1041" type="#_x0000_t202" style="position:absolute;margin-left:56.850000000000001pt;margin-top:788.7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2025-1057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8"/>
      <w:szCs w:val="38"/>
      <w:u w:val="none"/>
    </w:rPr>
  </w:style>
  <w:style w:type="paragraph" w:customStyle="1" w:styleId="Style2">
    <w:name w:val="Основной текст (2)"/>
    <w:basedOn w:val="Normal"/>
    <w:link w:val="CharStyle3"/>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8">
    <w:name w:val="Подпись к картинке"/>
    <w:basedOn w:val="Normal"/>
    <w:link w:val="CharStyle9"/>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1"/>
    <w:basedOn w:val="Normal"/>
    <w:link w:val="CharStyle16"/>
    <w:pPr>
      <w:widowControl w:val="0"/>
      <w:shd w:val="clear" w:color="auto" w:fill="auto"/>
      <w:spacing w:after="240"/>
      <w:outlineLvl w:val="0"/>
    </w:pPr>
    <w:rPr>
      <w:rFonts w:ascii="Arial" w:eastAsia="Arial" w:hAnsi="Arial" w:cs="Arial"/>
      <w:b w:val="0"/>
      <w:bCs w:val="0"/>
      <w:i w:val="0"/>
      <w:iCs w:val="0"/>
      <w:smallCaps w:val="0"/>
      <w:strike w:val="0"/>
      <w:sz w:val="38"/>
      <w:szCs w:val="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s>
</file>