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8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МД/763/25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Уведомление о принятии жалобы №024/06/106-162/2025 к рассмотрению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Берг П.В.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Ирбейская, д. 44, г. Красноярск, 660067 рЬегд@Ьк.ш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 Красноярского края пр-т. Мира, д. 10, оф. 53, г. Красноярск, 660049 адх_рпет@таП.ш;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адх_уогоЬеу@таП.ш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КГКУ «Управление капитального строительства»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Ады Лебедевой, д. 101А, г. Красноярск, Красноярский край, 660099 ик8кгау@таП.ги;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хакирИ-кга8ик8@таП.ш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наб. Тараса Шевченко, д. 23-А, г. Москва, 121151 ко@118-1епдег.ш;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1789" w:bottom="1231" w:left="1140" w:header="0" w:footer="3" w:gutter="0"/>
          <w:pgNumType w:start="1"/>
          <w:cols w:num="2" w:space="720" w:equalWidth="0">
            <w:col w:w="4109" w:space="1157"/>
            <w:col w:w="370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тГо@1Д8-1епдег.ш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ИП Берга П.В. (далее - податель жалобы) на действия аукционной комиссии уполномоченного органа - Агентства государственного заказа Красноярского края (далее — аукционная комиссия, уполномоченный орган), заказчика - КГКУ «Управление капитального строительства» (далее — заказчики) при проведении электронного аукциона ЭА-№-24262/24 «Поставка светильников передвижных для проведения осмотра/терапевтических процедур на строящийся объект: Поликлиника в Свердловском районе г. Красноярска с инженерными сетями» (далее - электронный аукцион), извещение №0119200000124023790 на электронной торговой площадке ООО «РТС-тендер» (далее - оператор электронной площадки).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порядка рассмотрения заявок участников электронного аукциона, а также нарушение заказчиком процедуры заключения контракта по результатам проведения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соответствует требованиям части 4 статьи 105 указанного закона, в связи с чем подлежит принятию к рассмотрению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руководствуясь статьей 106 Закона о контрактной системе, сообщаем о том, что рассмотрение жалобы состоится 24.01.2025 года в 14 часов 30 минут (по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3"/>
        </w:rPr>
        <w:t>местному времени) по адресу: г. Красноярск, пр. Мира, 81 Д, каб. 20.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принятия участия в рассмотрении жалобы, необходимо направить на адрес электронной почты Красноярского УФАС России 1о24@1а8.до\'.ги. ^о24-дшxтепко@^а8.доV.ш документы, подтверждающие полномочия лиц, которые будут участвовать в рассмотрении жалобы (обращения) в срок не позднее 14 часов 30 минут 23.01.2025 (в случае не предоставления доверенности в указанный срок представитель стороны не допускается к участию в заседании Комиссии) (непосредственно на рассмотрении жалобы (обращения) представитель стороны обязан продемонстрировать членам комиссии Красноярского УФАС России оригиналы указанных документов и в ходе своего выступления подтвердить (озвучить под аудиозапись), что копии таких документов направлены от имени этой стороны).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информируем о том, что представителям, участвующим в рассмотрении жалобы по существу, необходимо иметь при себе документ, удостоверяющий личность.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Уведомляем, что на основании пункта 1 части 15 статьи 99 Закона о контрактной системе в рамках рассмотрения жалобы будет проводиться внеплановая проверка.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аукционной комиссии в срок не позднее 14 часов 30 минут 23.01.2025 необходимо представить в адрес Красноярского УФАС России возражения на жалобу, в том числе содержащие указание даты размещения и направления в адрес подателя жалобы проекта контракта, а также информацию и документы, подтверждающие/опровергающие обоснованность доводов жалобы, копию документа об утверждении положений извещения, заявки (структурированные формы) на участие в электронном аукционе с указанием наименования участников закупки, соответствующих идентификационным и порядковым номерам в протоколе подведения итогов.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немедленно с момента получения настоящего уведомления необходимо представить в адрес Красноярского УФАС России сведения о том, проводится ли обжалуемая закупка в рамках реализации национальных проектов (программ), указанных в подпункте «б» пункта 2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года», Указа Президента Российской Федерации от 21.07.2020 № 474 «О национальных целях развития Российской Федерации на период до 2030 года».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в срок не позднее 14 часов 30 минут 23.01.2025 необходимо представить в адрес Красноярского УФАС России заявки (структурированные формы) на участие в электронном аукционе, с указанием наименования участников закупки, соответствующих идентификационным и порядковым номерам в протоколе подведения итогов, а также информацию о совершении заказчиком процедуры заключения контракта, а именно размещения и направления участнику закупки проекта контракта на подписание (обращаем внимание оператора электронной площадки на то, что с 24.06.2024 у территориальных органов ФАС России отсутствует техническая возможность открывать «запароленные» архивы, в связи с чем просим использовать иной способ предоставления запрашиваемой информации).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ограничением времени заседания комиссии запрашиваемую информацию необходимо предоставлять заблаговременно в письменном виде на адрес электронной почты Красноярского УФАС России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1о24@Га8.до\'.ги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 дополнительно продублировав на адрес электронной почты </w:t>
      </w:r>
      <w:r>
        <w:fldChar w:fldCharType="begin"/>
      </w:r>
      <w:r>
        <w:rPr/>
        <w:instrText> HYPERLINK "mailto:to24-vorsina@fas.gov.ru"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^о24-д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шxтепко</w:t>
      </w:r>
      <w:r>
        <w:fldChar w:fldCharType="begin"/>
      </w:r>
      <w:r>
        <w:rPr/>
        <w:instrText> HYPERLINK "mailto:to24-vorsina@fas.gov.ru"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@^а8.доV.ш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направлении пояснений (возражений) и документов в адрес Красноярского УФАС России, необходимо ссылаться на исходящий номер настоящего уведомления, номер жалобы и извещения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в соответствии с требованиями части 7 статьи 106 Закона о контрактной системе до рассмотрения Красноярским УФАС России жалобы на действия заказчика и уполномоченного органа необходимо приостановить заключение контракта до окончания рассмотрения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частью 2 статьи 106 Закона о контрактной системе лица, имеющие право действовать от имени участника закупки, подавшего жалобу, от имени субъекта (субъектов) контроля, действия (бездействие) которого (которых) обжалуются, вправе участвовать в рассмотрении жалобы по существу, в том числе с использованием систем видео-конференц-связи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наличии в контрольном органе в сфере закупок технической возможности осуществления видео-конференц-связи (при направлении соответствующего ходатайства не позднее рабочего дня, предшествующего дню рассмотрения жалобы по существу).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Сообщаем, о том, что в соответствии с частью 6 статьи 105 Закона о контрактной системе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реестре, предусмотренном </w:t>
      </w:r>
      <w:r>
        <w:rPr>
          <w:color w:val="00000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частью 21 статьи 99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Закона о контрактной системе, информации об отзыве жалобы, которая размещается в таком реестре автоматически.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в соответствии со статьями 2, 105, 106 Закона о контрактной системе, частью 1 статьи 1, пунктом 1 части 1 статьи 18.1, 23 Федерального закона от 26.07.2006 № 135-ФЗ «О защите конкуренции» (далее - Закон о защите конкуренции), антимонопольный орган не осуществляет рассмотрение обращений (жалоб, заявлений) о нарушении антимонопольного законодательства в порядке главы 6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случае, если хозяйствующий субъект обладает доказательствами свидетельствующими о наличии признаков нарушения Закона о защите конкуренции, обращения (заявления)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требованиями, установленными статьей 44 Закона о защите конкуренции.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Дополнительно сообщаем о том, что в соответствии со статьей 19.7.2 КоАП РФ Непредставление или несвоевременное представление в орган, уполномоченный на осуществление контроля в сфере закупок товаров, работ, услуг для обеспечения государственных и муниципальных нужд, орган внутреннего государственного (муниципального) финансового контроля информации и документов, если представление таких информации и документов является обязательным в соответствии с </w:t>
      </w:r>
      <w:r>
        <w:fldChar w:fldCharType="begin"/>
      </w:r>
      <w:r>
        <w:rPr/>
        <w:instrText> HYPERLINK "http://www.consultant.ru/document/cons_doc_LAW_34661/15e12aa4e6d1090ac2641a30768390ebd8734309/" </w:instrText>
      </w:r>
      <w:r>
        <w:fldChar w:fldCharType="separate"/>
      </w:r>
      <w:r>
        <w:rPr>
          <w:color w:val="00000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законодательством</w:t>
      </w:r>
      <w:r>
        <w:fldChar w:fldCharType="end"/>
      </w:r>
      <w:r>
        <w:rPr>
          <w:color w:val="00000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Российской Федерации о контрактной системе в сфере закупок, либо представление заведомо недостоверных информации и документов влечет административную ответственность.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92" w:val="left"/>
        </w:tabs>
        <w:bidi w:val="0"/>
        <w:spacing w:before="0" w:after="27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Заместитель руководителя</w:t>
        <w:tab/>
        <w:t>М.А. Дударева</w:t>
      </w:r>
    </w:p>
    <w:p>
      <w:pPr>
        <w:framePr w:w="672" w:h="994" w:hSpace="3139" w:wrap="notBeside" w:vAnchor="text" w:hAnchor="text" w:x="2823" w:y="1"/>
        <w:widowControl w:val="0"/>
        <w:rPr>
          <w:sz w:val="2"/>
          <w:szCs w:val="2"/>
        </w:rPr>
      </w:pPr>
      <w:r>
        <w:drawing>
          <wp:inline>
            <wp:extent cx="426720" cy="63373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2672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791970" distR="2301240" simplePos="0" relativeHeight="125829378" behindDoc="0" locked="0" layoutInCell="1" allowOverlap="1">
                <wp:simplePos x="0" y="0"/>
                <wp:positionH relativeFrom="column">
                  <wp:posOffset>2343785</wp:posOffset>
                </wp:positionH>
                <wp:positionV relativeFrom="paragraph">
                  <wp:posOffset>487680</wp:posOffset>
                </wp:positionV>
                <wp:extent cx="1426210" cy="11303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ЭИ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184.55000000000001pt;margin-top:38.399999999999999pt;width:112.3pt;height:8.9000000000000004pt;z-index:-125829375;mso-wrap-distance-left:141.09999999999999pt;mso-wrap-distance-right:181.20000000000002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ЭИ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791970" distR="2301240" simplePos="0" relativeHeight="125829380" behindDoc="0" locked="0" layoutInCell="1" allowOverlap="1">
                <wp:simplePos x="0" y="0"/>
                <wp:positionH relativeFrom="column">
                  <wp:posOffset>2294890</wp:posOffset>
                </wp:positionH>
                <wp:positionV relativeFrom="paragraph">
                  <wp:posOffset>140335</wp:posOffset>
                </wp:positionV>
                <wp:extent cx="1917065" cy="28321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180.70000000000002pt;margin-top:11.050000000000001pt;width:150.95000000000002pt;height:22.300000000000001pt;z-index:-125829373;mso-wrap-distance-left:141.09999999999999pt;mso-wrap-distance-right:181.20000000000002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Дударева Марина Александровна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233672СО5А698АЕ780А30СВ71530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340"/>
        <w:ind w:right="0"/>
        <w:jc w:val="left"/>
      </w:pP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3.1</w:t>
      </w:r>
      <w:r>
        <w:rPr>
          <w:color w:val="929292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.2023 </w:t>
      </w:r>
      <w:r>
        <w:rPr>
          <w:color w:val="92929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55555"/>
          <w:spacing w:val="0"/>
          <w:w w:val="100"/>
          <w:position w:val="0"/>
          <w:shd w:val="clear" w:color="auto" w:fill="auto"/>
          <w:lang w:val="ru-RU" w:eastAsia="ru-RU" w:bidi="ru-RU"/>
        </w:rPr>
        <w:t>05.02.2025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Исп.Суслина Е.С.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9" w:right="511" w:bottom="1231" w:left="109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9975215</wp:posOffset>
              </wp:positionV>
              <wp:extent cx="5727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300000000000004pt;margin-top:785.45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2025-802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2025-802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Заголовок №2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3">
    <w:name w:val="Основной текст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3"/>
      <w:szCs w:val="13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9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Заголовок №2"/>
    <w:basedOn w:val="Normal"/>
    <w:link w:val="CharStyle9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2">
    <w:name w:val="Основной текст (3)"/>
    <w:basedOn w:val="Normal"/>
    <w:link w:val="CharStyle23"/>
    <w:pPr>
      <w:widowControl w:val="0"/>
      <w:shd w:val="clear" w:color="auto" w:fill="auto"/>
      <w:spacing w:after="670" w:line="276" w:lineRule="auto"/>
      <w:ind w:left="29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82828"/>
      <w:sz w:val="13"/>
      <w:szCs w:val="13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