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3810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w:drawing>
          <wp:anchor distT="0" distB="622300" distL="114300" distR="114300" simplePos="0" relativeHeight="125829379" behindDoc="0" locked="0" layoutInCell="1" allowOverlap="1">
            <wp:simplePos x="0" y="0"/>
            <wp:positionH relativeFrom="page">
              <wp:posOffset>3119755</wp:posOffset>
            </wp:positionH>
            <wp:positionV relativeFrom="paragraph">
              <wp:posOffset>3063240</wp:posOffset>
            </wp:positionV>
            <wp:extent cx="219710" cy="213360"/>
            <wp:wrapSquare wrapText="bothSides"/>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219710" cy="213360"/>
                    </a:xfrm>
                    <a:prstGeom prst="rect"/>
                  </pic:spPr>
                </pic:pic>
              </a:graphicData>
            </a:graphic>
          </wp:anchor>
        </w:drawing>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Пермскому краю</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Ленина, 64, г. Пермь, 614990</w:t>
        <w:br/>
        <w:t>тел. (342) 235-12-00, факс (342) 235-10-67</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е-таИ: 1о59@Газ.§оу.ги</w:t>
      </w:r>
    </w:p>
    <w:p>
      <w:pPr>
        <w:pStyle w:val="Style2"/>
        <w:keepNext w:val="0"/>
        <w:keepLines w:val="0"/>
        <w:widowControl w:val="0"/>
        <w:shd w:val="clear" w:color="auto" w:fill="auto"/>
        <w:bidi w:val="0"/>
        <w:spacing w:before="0" w:after="60"/>
        <w:ind w:left="0" w:right="0" w:firstLine="0"/>
        <w:jc w:val="center"/>
      </w:pPr>
      <w:r>
        <w:rPr>
          <w:spacing w:val="0"/>
          <w:w w:val="100"/>
          <w:position w:val="0"/>
          <w:shd w:val="clear" w:color="auto" w:fill="auto"/>
          <w:lang w:val="ru-RU" w:eastAsia="ru-RU" w:bidi="ru-RU"/>
        </w:rPr>
        <w:t>сайт: тс\с.регт.1гь.росте</w:t>
      </w:r>
    </w:p>
    <w:p>
      <w:pPr>
        <w:pStyle w:val="Style10"/>
        <w:keepNext/>
        <w:keepLines/>
        <w:widowControl w:val="0"/>
        <w:shd w:val="clear" w:color="auto" w:fill="auto"/>
        <w:tabs>
          <w:tab w:pos="1978"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color w:val="000000"/>
          <w:spacing w:val="0"/>
          <w:w w:val="100"/>
          <w:position w:val="0"/>
          <w:shd w:val="clear" w:color="auto" w:fill="auto"/>
          <w:lang w:val="ru-RU" w:eastAsia="ru-RU" w:bidi="ru-RU"/>
        </w:rPr>
        <w:t>31.01.2025</w:t>
      </w:r>
      <w:r>
        <w:fldChar w:fldCharType="end"/>
      </w:r>
      <w:r>
        <w:rPr>
          <w:color w:val="000000"/>
          <w:spacing w:val="0"/>
          <w:w w:val="100"/>
          <w:position w:val="0"/>
          <w:shd w:val="clear" w:color="auto" w:fill="auto"/>
          <w:lang w:val="ru-RU" w:eastAsia="ru-RU" w:bidi="ru-RU"/>
        </w:rPr>
        <w:tab/>
        <w:t>№ 836/25</w:t>
      </w:r>
      <w:bookmarkEnd w:id="0"/>
    </w:p>
    <w:p>
      <w:pPr>
        <w:pStyle w:val="Style8"/>
        <w:keepNext w:val="0"/>
        <w:keepLines w:val="0"/>
        <w:widowControl w:val="0"/>
        <w:shd w:val="clear" w:color="auto" w:fill="auto"/>
        <w:bidi w:val="0"/>
        <w:spacing w:before="0" w:after="62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 xml:space="preserve">ООО Торговый дом «Медполимерпром» </w:t>
      </w:r>
      <w:r>
        <w:rPr>
          <w:color w:val="000000"/>
          <w:spacing w:val="0"/>
          <w:w w:val="100"/>
          <w:position w:val="0"/>
          <w:sz w:val="24"/>
          <w:szCs w:val="24"/>
          <w:shd w:val="clear" w:color="auto" w:fill="auto"/>
          <w:lang w:val="ru-RU" w:eastAsia="ru-RU" w:bidi="ru-RU"/>
        </w:rPr>
        <w:t>123298, г. Москва, вн.тер.г. муниципальный округ Хорошево-Мневники, ул. 3-я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Хорошёвская, д. 18, к. 1</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хаках@Мтрр.ш</w:t>
      </w:r>
    </w:p>
    <w:p>
      <w:pPr>
        <w:pStyle w:val="Style16"/>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ГБУЗ ПК «Пермский краевой онкологический диспансер»</w:t>
      </w:r>
      <w:bookmarkEnd w:id="2"/>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614066, г. Пермь, ул. Баумана, 15</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е1епа-ркод@таП.ш</w:t>
      </w:r>
    </w:p>
    <w:p>
      <w:pPr>
        <w:pStyle w:val="Style16"/>
        <w:keepNext/>
        <w:keepLines/>
        <w:widowControl w:val="0"/>
        <w:shd w:val="clear" w:color="auto" w:fill="auto"/>
        <w:bidi w:val="0"/>
        <w:spacing w:before="0" w:after="0" w:line="240" w:lineRule="auto"/>
        <w:ind w:left="0" w:right="0" w:firstLine="0"/>
        <w:jc w:val="left"/>
      </w:pPr>
      <w:bookmarkStart w:id="4" w:name="bookmark4"/>
      <w:r>
        <w:rPr>
          <w:color w:val="000000"/>
          <w:spacing w:val="0"/>
          <w:w w:val="100"/>
          <w:position w:val="0"/>
          <w:sz w:val="24"/>
          <w:szCs w:val="24"/>
          <w:shd w:val="clear" w:color="auto" w:fill="auto"/>
          <w:lang w:val="ru-RU" w:eastAsia="ru-RU" w:bidi="ru-RU"/>
        </w:rPr>
        <w:t>Комиссия ГКУ ПК «Центр организации закупок»</w:t>
      </w:r>
      <w:bookmarkEnd w:id="4"/>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614990, г. Пермь, ул. Петропавловская, д. 53, оф. 100</w:t>
      </w:r>
    </w:p>
    <w:p>
      <w:pPr>
        <w:pStyle w:val="Style13"/>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тГо@сх.регткгаЁш</w:t>
      </w:r>
    </w:p>
    <w:p>
      <w:pPr>
        <w:pStyle w:val="Style16"/>
        <w:keepNext/>
        <w:keepLines/>
        <w:widowControl w:val="0"/>
        <w:shd w:val="clear" w:color="auto" w:fill="auto"/>
        <w:bidi w:val="0"/>
        <w:spacing w:before="0" w:after="0" w:line="240" w:lineRule="auto"/>
        <w:ind w:left="0" w:right="0" w:firstLine="0"/>
        <w:jc w:val="left"/>
      </w:pPr>
      <w:bookmarkStart w:id="6" w:name="bookmark6"/>
      <w:r>
        <w:rPr>
          <w:color w:val="000000"/>
          <w:spacing w:val="0"/>
          <w:w w:val="100"/>
          <w:position w:val="0"/>
          <w:sz w:val="24"/>
          <w:szCs w:val="24"/>
          <w:shd w:val="clear" w:color="auto" w:fill="auto"/>
          <w:lang w:val="ru-RU" w:eastAsia="ru-RU" w:bidi="ru-RU"/>
        </w:rPr>
        <w:t>АО «Сбербанк-АСТ»</w:t>
      </w:r>
      <w:bookmarkEnd w:id="6"/>
    </w:p>
    <w:p>
      <w:pPr>
        <w:pStyle w:val="Style13"/>
        <w:keepNext w:val="0"/>
        <w:keepLines w:val="0"/>
        <w:widowControl w:val="0"/>
        <w:shd w:val="clear" w:color="auto" w:fill="auto"/>
        <w:bidi w:val="0"/>
        <w:spacing w:before="0" w:after="0" w:line="240" w:lineRule="auto"/>
        <w:ind w:left="0" w:right="0" w:firstLine="0"/>
        <w:jc w:val="left"/>
        <w:sectPr>
          <w:footerReference w:type="default" r:id="rId9"/>
          <w:footerReference w:type="even" r:id="rId10"/>
          <w:footerReference w:type="first" r:id="rId11"/>
          <w:footnotePr>
            <w:pos w:val="pageBottom"/>
            <w:numFmt w:val="decimal"/>
            <w:numRestart w:val="continuous"/>
          </w:footnotePr>
          <w:pgSz w:w="11900" w:h="16840"/>
          <w:pgMar w:top="284" w:right="868" w:bottom="1231" w:left="1140" w:header="0" w:footer="3" w:gutter="0"/>
          <w:pgNumType w:start="1"/>
          <w:cols w:num="2" w:space="720" w:equalWidth="0">
            <w:col w:w="4061" w:space="1205"/>
            <w:col w:w="4627"/>
          </w:cols>
          <w:noEndnote/>
          <w:titlePg/>
          <w:rtlGutter w:val="0"/>
          <w:docGrid w:linePitch="360"/>
        </w:sectPr>
      </w:pPr>
      <w:r>
        <w:rPr>
          <w:color w:val="000000"/>
          <w:spacing w:val="0"/>
          <w:w w:val="100"/>
          <w:position w:val="0"/>
          <w:sz w:val="24"/>
          <w:szCs w:val="24"/>
          <w:shd w:val="clear" w:color="auto" w:fill="auto"/>
          <w:lang w:val="ru-RU" w:eastAsia="ru-RU" w:bidi="ru-RU"/>
        </w:rPr>
        <w:t>ко@8ЬегЬапк-а8Еш</w:t>
      </w:r>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6" w:right="0" w:bottom="1198" w:left="0" w:header="0" w:footer="3" w:gutter="0"/>
          <w:cols w:space="720"/>
          <w:noEndnote/>
          <w:rtlGutter w:val="0"/>
          <w:docGrid w:linePitch="360"/>
        </w:sectPr>
      </w:pPr>
    </w:p>
    <w:p>
      <w:pPr>
        <w:pStyle w:val="Style16"/>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 по делу № 059/06/105-53/2025</w:t>
      </w:r>
      <w:bookmarkEnd w:id="8"/>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(жалоба ООО Торговый дом «Медполимерпром», вх.№ 792/25 от 22.01.2025 г.)</w:t>
      </w:r>
    </w:p>
    <w:p>
      <w:pPr>
        <w:pStyle w:val="Style16"/>
        <w:keepNext/>
        <w:keepLines/>
        <w:widowControl w:val="0"/>
        <w:shd w:val="clear" w:color="auto" w:fill="auto"/>
        <w:tabs>
          <w:tab w:pos="9216" w:val="left"/>
        </w:tabs>
        <w:bidi w:val="0"/>
        <w:spacing w:before="0" w:after="0" w:line="240" w:lineRule="auto"/>
        <w:ind w:left="0" w:right="0" w:firstLine="0"/>
        <w:jc w:val="both"/>
      </w:pPr>
      <w:bookmarkStart w:id="10" w:name="bookmark10"/>
      <w:r>
        <w:rPr>
          <w:color w:val="000000"/>
          <w:spacing w:val="0"/>
          <w:w w:val="100"/>
          <w:position w:val="0"/>
          <w:sz w:val="24"/>
          <w:szCs w:val="24"/>
          <w:shd w:val="clear" w:color="auto" w:fill="auto"/>
          <w:lang w:val="ru-RU" w:eastAsia="ru-RU" w:bidi="ru-RU"/>
        </w:rPr>
        <w:t>28.01.2025 г.</w:t>
        <w:tab/>
        <w:t>г. Пермь</w:t>
      </w:r>
      <w:bookmarkEnd w:id="10"/>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Пермскому краю (далее - Комиссия) в составе:</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Председатель Комиссии - Субботина Е.С., </w:t>
      </w:r>
      <w:r>
        <w:rPr>
          <w:color w:val="000000"/>
          <w:spacing w:val="0"/>
          <w:w w:val="100"/>
          <w:position w:val="0"/>
          <w:sz w:val="24"/>
          <w:szCs w:val="24"/>
          <w:shd w:val="clear" w:color="auto" w:fill="auto"/>
          <w:lang w:val="ru-RU" w:eastAsia="ru-RU" w:bidi="ru-RU"/>
        </w:rPr>
        <w:t>начальник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numPr>
          <w:ilvl w:val="0"/>
          <w:numId w:val="1"/>
        </w:numPr>
        <w:shd w:val="clear" w:color="auto" w:fill="auto"/>
        <w:tabs>
          <w:tab w:pos="1007"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Журавев М.А., </w:t>
      </w:r>
      <w:r>
        <w:rPr>
          <w:color w:val="000000"/>
          <w:spacing w:val="0"/>
          <w:w w:val="100"/>
          <w:position w:val="0"/>
          <w:sz w:val="24"/>
          <w:szCs w:val="24"/>
          <w:shd w:val="clear" w:color="auto" w:fill="auto"/>
          <w:lang w:val="ru-RU" w:eastAsia="ru-RU" w:bidi="ru-RU"/>
        </w:rPr>
        <w:t>ведущий специалист-эксперт отдела контроля закупок,</w:t>
      </w:r>
    </w:p>
    <w:p>
      <w:pPr>
        <w:pStyle w:val="Style13"/>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 xml:space="preserve">Чудинов А.М., </w:t>
      </w:r>
      <w:r>
        <w:rPr>
          <w:color w:val="000000"/>
          <w:spacing w:val="0"/>
          <w:w w:val="100"/>
          <w:position w:val="0"/>
          <w:sz w:val="24"/>
          <w:szCs w:val="24"/>
          <w:shd w:val="clear" w:color="auto" w:fill="auto"/>
          <w:lang w:val="ru-RU" w:eastAsia="ru-RU" w:bidi="ru-RU"/>
        </w:rPr>
        <w:t>специалист-эксперт отдела контроля закупок,</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ВКС: представителя ООО Торговый дом «Медполимерпром» - Ширшова К.М. (на основании доверенности), представителя комиссии ГКУ ПК «Центр организации закупок» - Филимоновой П.А. (на основании доверенности), представителя ООО «Пермская Медицинская Компания» - Максимова Д.З. (на основании решения),</w:t>
      </w:r>
    </w:p>
    <w:p>
      <w:pPr>
        <w:pStyle w:val="Style13"/>
        <w:keepNext w:val="0"/>
        <w:keepLines w:val="0"/>
        <w:widowControl w:val="0"/>
        <w:numPr>
          <w:ilvl w:val="0"/>
          <w:numId w:val="1"/>
        </w:numPr>
        <w:shd w:val="clear" w:color="auto" w:fill="auto"/>
        <w:tabs>
          <w:tab w:pos="100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отсутствие представителя ГБУЗ ПК «Пермский краевой онкологический диспансер» (извещен надлежащим образом),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рассмотрев жалобу ООО Торговый дом «Медполимерпром» (далее - Заявитель) на действия комиссии ГКУ ПК «Центр организации закупок» (далее - Аукционная комиссия) при проведении электронного аукциона на поставку изделий медицинского назначения (Контур дыхательный) (изв. № 0356200005124000567),</w:t>
      </w:r>
    </w:p>
    <w:p>
      <w:pPr>
        <w:pStyle w:val="Style16"/>
        <w:keepNext/>
        <w:keepLines/>
        <w:widowControl w:val="0"/>
        <w:shd w:val="clear" w:color="auto" w:fill="auto"/>
        <w:bidi w:val="0"/>
        <w:spacing w:before="0" w:after="0" w:line="240" w:lineRule="auto"/>
        <w:ind w:left="0" w:right="0" w:firstLine="0"/>
        <w:jc w:val="center"/>
      </w:pPr>
      <w:bookmarkStart w:id="12" w:name="bookmark12"/>
      <w:r>
        <w:rPr>
          <w:color w:val="000000"/>
          <w:spacing w:val="0"/>
          <w:w w:val="100"/>
          <w:position w:val="0"/>
          <w:sz w:val="24"/>
          <w:szCs w:val="24"/>
          <w:shd w:val="clear" w:color="auto" w:fill="auto"/>
          <w:lang w:val="ru-RU" w:eastAsia="ru-RU" w:bidi="ru-RU"/>
        </w:rPr>
        <w:t>УСТАНОВИЛА:</w:t>
      </w:r>
      <w:bookmarkEnd w:id="12"/>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Аукционной комиссии.</w:t>
      </w:r>
    </w:p>
    <w:p>
      <w:pPr>
        <w:pStyle w:val="Style13"/>
        <w:keepNext w:val="0"/>
        <w:keepLines w:val="0"/>
        <w:widowControl w:val="0"/>
        <w:shd w:val="clear" w:color="auto" w:fill="auto"/>
        <w:bidi w:val="0"/>
        <w:spacing w:before="0" w:after="440" w:line="240" w:lineRule="auto"/>
        <w:ind w:left="0" w:right="0" w:firstLine="740"/>
        <w:jc w:val="both"/>
      </w:pPr>
      <w:r>
        <w:rPr>
          <w:b/>
          <w:bCs/>
          <w:color w:val="000000"/>
          <w:spacing w:val="0"/>
          <w:w w:val="100"/>
          <w:position w:val="0"/>
          <w:sz w:val="24"/>
          <w:szCs w:val="24"/>
          <w:shd w:val="clear" w:color="auto" w:fill="auto"/>
          <w:lang w:val="ru-RU" w:eastAsia="ru-RU" w:bidi="ru-RU"/>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установлено следующее.</w:t>
      </w:r>
    </w:p>
    <w:p>
      <w:pPr>
        <w:pStyle w:val="Style18"/>
        <w:keepNext/>
        <w:keepLines/>
        <w:widowControl w:val="0"/>
        <w:shd w:val="clear" w:color="auto" w:fill="auto"/>
        <w:bidi w:val="0"/>
        <w:spacing w:before="0" w:line="240" w:lineRule="auto"/>
        <w:ind w:left="0" w:right="0" w:firstLine="0"/>
        <w:jc w:val="both"/>
      </w:pPr>
      <w:bookmarkStart w:id="14" w:name="bookmark14"/>
      <w:r>
        <w:rPr>
          <w:color w:val="000000"/>
          <w:spacing w:val="0"/>
          <w:w w:val="100"/>
          <w:position w:val="0"/>
          <w:shd w:val="clear" w:color="auto" w:fill="auto"/>
          <w:lang w:val="ru-RU" w:eastAsia="ru-RU" w:bidi="ru-RU"/>
        </w:rPr>
        <w:t>111111111111111111111111</w:t>
      </w:r>
      <w:bookmarkEnd w:id="14"/>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 0356200005124000567 Заказчиком проводился электронный аукцион на поставку изделий медицинского назначения (Контур дыхательный).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электронного аукциона:</w:t>
      </w:r>
    </w:p>
    <w:p>
      <w:pPr>
        <w:pStyle w:val="Style13"/>
        <w:keepNext w:val="0"/>
        <w:keepLines w:val="0"/>
        <w:widowControl w:val="0"/>
        <w:numPr>
          <w:ilvl w:val="0"/>
          <w:numId w:val="3"/>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электронного аукциона размещено в единой информационной системе в сфере закупок \\л\л\-.хакирк1.до\'.ги (далее - ЕИС) - 28.12.2024 г.</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способ определения поставщика (подрядчика, исполнителя) - Аукцион;</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- 2 968 591,50 руб.;</w:t>
      </w:r>
    </w:p>
    <w:p>
      <w:pPr>
        <w:pStyle w:val="Style13"/>
        <w:keepNext w:val="0"/>
        <w:keepLines w:val="0"/>
        <w:widowControl w:val="0"/>
        <w:numPr>
          <w:ilvl w:val="0"/>
          <w:numId w:val="3"/>
        </w:numPr>
        <w:shd w:val="clear" w:color="auto" w:fill="auto"/>
        <w:tabs>
          <w:tab w:pos="17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- 16.01.2025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полагает, что в нарушение требований ст. 14 Закона о закупках Аукционной комиссией не были применены положения Постановления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ПП РФ № 102), в части отклонения заявок, содержащих предложения о поставе товаров иностранного происхождения, поскольку на участие в закупке поступило не менее двух заявок, содержащих предложение о поставке товаров, страной происхождения которых являются страны - члены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Как указывает Заявитель в своей жалобе, заявка Заявителя содержит предложение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 и одновременно Заявитель представил документы, предусмотренные ПП РФ № 102. Истечение срока действия годового акта экспертизы, который не может превышать срок действия ПП РФ № 102 (документ утратил силу с 01.01.2025 в связи с изданием Постановления Правительства РФ от 23.12.2024 № 1875), не отменяет факта отечественного происхождения, предложенного к поставке конкретного количества товара и соответствие его доли импорта показателю, определенному ПП РФ № 102, в целях подтверждения чего данные документы и предоставляются.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письменных пояснениях, а также в ходе заседания Комиссии, представитель Аукционной комиссии указал, что на основании постановления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 В соответствии с абзацем 2 п. 3.2 Положения 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 В соответствии с данной нормой приказом ТПП РФ от 10.04.2015 № 30 порядок заполнения актов экспертизы по определению страны происхождения товаров и соответствия товаров требованиям постановления Правительства РФ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от 5 февраля 2015 года № 102» (далее - Порядок заполнения актов экспертизы). В соответствии с п. 4.3 Порядка заполнения актов экспертизы Акт экспертизы заполняется следующим образом: пункт 3. «Срок действия акта»: указывается дата, до которой действует годовой акт экспертизы (с учетом, что акт составляется сроком на один год). В соответствии с п. 3.1 «Требований к содержанию, составу заявки на участие в закупке и инструкции по ее заполнению» (далее - Требований):</w:t>
      </w:r>
    </w:p>
    <w:p>
      <w:pPr>
        <w:pStyle w:val="Style13"/>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16" w:right="542" w:bottom="1198" w:left="1100"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 883, от 28.02.2023 № 318) Подтверждением</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подпунктом «в» пункта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определения поставщика (подрядчика, исполнителя) от 15.01.2025 №ИЭА1 на участие в закупке поступило 6 заявок. В результате анализа заявки Заявителя было установлено, что к поставке последним предлагаются контуры дыхательные аппарата искусственной вентиляции легких, одноразового использования производителя АО «НПП «ИНТЕРОКО» (РУ № РЗН 2020/10066). Также в составе заявки Заявителем были приложены сертификат по форме СТ-1 № 4126000587, а также акт экспертизы № 030-00-40022 от 01.03.2024 г. действующий до 31.12.2024 г. Таким образом, на момент подачи Заявителем заявки (15.01.2025 г. в 13:30:36), а также на момент подведения итогов определения поставщика (15.01.2025 г.) срок действия акта экспертизы № 030-00-40022 истек, а, следовательно, Заявителем, в нарушение п. 3.1 Требований, не представлено надлежащего акта экспертизы, содержащего информацию о доле стоимости иностранных материалов (сырья), используемых для производства одной единицы медицинского изделия. В заявке участника № 12 представлен акт экспертизы, действующий до июня 2025 г., кроме того, Порядок заполнения актов экспертизы не ограничивает срок действия такого акта окончанием календарного года, а указывает на его действие в течение одного года. Доказательств обратного в материалах жалобы Заявителем представлено не было. Поскольку в соответствии с п. 2 ПП РФ № 102 отклонение заявок, содержащих предложение о поставке изделий, происходящих из иностранных государств, осуществляется лишь в случае, если на участие в определении поставщика подано </w:t>
      </w:r>
      <w:r>
        <w:rPr>
          <w:color w:val="000000"/>
          <w:spacing w:val="0"/>
          <w:w w:val="100"/>
          <w:position w:val="0"/>
          <w:sz w:val="24"/>
          <w:szCs w:val="24"/>
          <w:u w:val="single"/>
          <w:shd w:val="clear" w:color="auto" w:fill="auto"/>
          <w:lang w:val="ru-RU" w:eastAsia="ru-RU" w:bidi="ru-RU"/>
        </w:rPr>
        <w:t>не менее 2 заявок,</w:t>
      </w:r>
      <w:r>
        <w:rPr>
          <w:color w:val="000000"/>
          <w:spacing w:val="0"/>
          <w:w w:val="100"/>
          <w:position w:val="0"/>
          <w:sz w:val="24"/>
          <w:szCs w:val="24"/>
          <w:shd w:val="clear" w:color="auto" w:fill="auto"/>
          <w:lang w:val="ru-RU" w:eastAsia="ru-RU" w:bidi="ru-RU"/>
        </w:rPr>
        <w:t xml:space="preserve"> соответствующих требованиям вышеуказанного пункта, при этом заявки участников № 30, 9, 208 и 99 содержат предложение о поставке товаров, происходящих из иностранных государств (Турция и Китай соответственно), у Аукционной комиссии не имелось оснований для применения условий ограничения допуска отдельных видов медицинских изделий, происходящих из иностранных государств.</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письменных дополнениях Аукционная комиссия отметила, что обязанность по установлению соответствующего ограничения в извещение возникает в случае, если закупаемый товар входит в один из перечней, утвержденный ПП РФ № 102 (в период действия постановления и утвержденных им перечней), при этом обязанность по применению такого ограничения действует с момента его установления в извещении и до окончания исполнения контракта включительно (так, например, п. 3(1) и п. 3(2) ПП РФ № 102 регламентируют отношения между поставщиком и заказчиком в ходе исполнения контракта в части порядка замены медицинского изделия в ходе поставки). Постановление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основании которого ПП РФ № 102 признано утратившим силу), отменяющее действие ряда актов, не содержит положений, из которых следует необходимость его применения к отношениям, возникшим до введения его в действие. Кроме того, согласно положениям абз. 1 п. 1. ст. 4 ГК РФ: акты гражданского законодательства не имеют обратной силы и применяются к отношениям, возникшим после введения их в действие.</w:t>
      </w:r>
    </w:p>
    <w:p>
      <w:pPr>
        <w:pStyle w:val="Style13"/>
        <w:keepNext w:val="0"/>
        <w:keepLines w:val="0"/>
        <w:widowControl w:val="0"/>
        <w:shd w:val="clear" w:color="auto" w:fill="auto"/>
        <w:bidi w:val="0"/>
        <w:spacing w:before="0" w:after="0" w:line="271" w:lineRule="auto"/>
        <w:ind w:left="0" w:right="0" w:firstLine="740"/>
        <w:jc w:val="both"/>
      </w:pPr>
      <w:r>
        <w:rPr>
          <w:color w:val="000000"/>
          <w:spacing w:val="0"/>
          <w:w w:val="100"/>
          <w:position w:val="0"/>
          <w:sz w:val="24"/>
          <w:szCs w:val="24"/>
          <w:shd w:val="clear" w:color="auto" w:fill="auto"/>
          <w:lang w:val="ru-RU" w:eastAsia="ru-RU" w:bidi="ru-RU"/>
        </w:rPr>
        <w:t>В соответствии с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2025-922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государственных и муниципальных нужд, установленными в соответствии с ч. 6 ст. 23 Закона о закупках,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пп.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4 Правил использования Заказчики обязаны применять информацию, включенную в позицию каталога в соответствии с пп.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3"/>
        <w:keepNext w:val="0"/>
        <w:keepLines w:val="0"/>
        <w:widowControl w:val="0"/>
        <w:numPr>
          <w:ilvl w:val="0"/>
          <w:numId w:val="5"/>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3"/>
        <w:keepNext w:val="0"/>
        <w:keepLines w:val="0"/>
        <w:widowControl w:val="0"/>
        <w:numPr>
          <w:ilvl w:val="0"/>
          <w:numId w:val="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3"/>
        <w:keepNext w:val="0"/>
        <w:keepLines w:val="0"/>
        <w:widowControl w:val="0"/>
        <w:numPr>
          <w:ilvl w:val="0"/>
          <w:numId w:val="5"/>
        </w:numPr>
        <w:shd w:val="clear" w:color="auto" w:fill="auto"/>
        <w:tabs>
          <w:tab w:pos="105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pPr>
        <w:pStyle w:val="Style13"/>
        <w:keepNext w:val="0"/>
        <w:keepLines w:val="0"/>
        <w:widowControl w:val="0"/>
        <w:numPr>
          <w:ilvl w:val="0"/>
          <w:numId w:val="7"/>
        </w:numPr>
        <w:shd w:val="clear" w:color="auto" w:fill="auto"/>
        <w:tabs>
          <w:tab w:pos="1042" w:val="left"/>
        </w:tabs>
        <w:bidi w:val="0"/>
        <w:spacing w:before="0" w:after="0" w:line="240" w:lineRule="auto"/>
        <w:ind w:left="0" w:right="0" w:firstLine="740"/>
        <w:jc w:val="both"/>
        <w:sectPr>
          <w:footerReference w:type="default" r:id="rId12"/>
          <w:footerReference w:type="even" r:id="rId13"/>
          <w:footnotePr>
            <w:pos w:val="pageBottom"/>
            <w:numFmt w:val="decimal"/>
            <w:numRestart w:val="continuous"/>
          </w:footnotePr>
          <w:pgSz w:w="11900" w:h="16840"/>
          <w:pgMar w:top="1110" w:right="542" w:bottom="603" w:left="1105" w:header="682" w:footer="175" w:gutter="0"/>
          <w:cols w:space="720"/>
          <w:noEndnote/>
          <w:rtlGutter w:val="0"/>
          <w:docGrid w:linePitch="360"/>
        </w:sectPr>
      </w:pPr>
      <w:r>
        <w:rPr>
          <w:color w:val="000000"/>
          <w:spacing w:val="0"/>
          <w:w w:val="100"/>
          <w:position w:val="0"/>
          <w:sz w:val="24"/>
          <w:szCs w:val="24"/>
          <w:shd w:val="clear" w:color="auto" w:fill="auto"/>
          <w:lang w:val="ru-RU" w:eastAsia="ru-RU" w:bidi="ru-RU"/>
        </w:rPr>
        <w:t>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2025-922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3"/>
        <w:keepNext w:val="0"/>
        <w:keepLines w:val="0"/>
        <w:widowControl w:val="0"/>
        <w:numPr>
          <w:ilvl w:val="0"/>
          <w:numId w:val="7"/>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 При проведении предусмотренных Законом о закупках электронных процедур, закрытых электронных процедур характеристики объекта закупки, предусмотренные п. 1 ч. 1 ст. 33 Закона о закупках,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 1 ст. 42, п. 1 ч. 1 ст. 75 Закона о закупках соответственно.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пп. «а», «д» п. 10 Правил формирования в позицию каталога включается:</w:t>
      </w:r>
    </w:p>
    <w:p>
      <w:pPr>
        <w:pStyle w:val="Style13"/>
        <w:keepNext w:val="0"/>
        <w:keepLines w:val="0"/>
        <w:widowControl w:val="0"/>
        <w:numPr>
          <w:ilvl w:val="0"/>
          <w:numId w:val="9"/>
        </w:numPr>
        <w:shd w:val="clear" w:color="auto" w:fill="auto"/>
        <w:tabs>
          <w:tab w:pos="100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код позиции каталога, формируемый в соответствии с п. 12 настоящих Правил формирования;</w:t>
      </w:r>
    </w:p>
    <w:p>
      <w:pPr>
        <w:pStyle w:val="Style13"/>
        <w:keepNext w:val="0"/>
        <w:keepLines w:val="0"/>
        <w:widowControl w:val="0"/>
        <w:numPr>
          <w:ilvl w:val="0"/>
          <w:numId w:val="9"/>
        </w:numPr>
        <w:shd w:val="clear" w:color="auto" w:fill="auto"/>
        <w:tabs>
          <w:tab w:pos="17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справочная информация:</w:t>
      </w:r>
    </w:p>
    <w:p>
      <w:pPr>
        <w:pStyle w:val="Style13"/>
        <w:keepNext w:val="0"/>
        <w:keepLines w:val="0"/>
        <w:widowControl w:val="0"/>
        <w:numPr>
          <w:ilvl w:val="0"/>
          <w:numId w:val="11"/>
        </w:numPr>
        <w:shd w:val="clear" w:color="auto" w:fill="auto"/>
        <w:tabs>
          <w:tab w:pos="105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коды, соответствующие товару, работе, услуге согласно российским и международным системам классификации, каталогизации (при наличии);</w:t>
      </w:r>
    </w:p>
    <w:p>
      <w:pPr>
        <w:pStyle w:val="Style13"/>
        <w:keepNext w:val="0"/>
        <w:keepLines w:val="0"/>
        <w:widowControl w:val="0"/>
        <w:numPr>
          <w:ilvl w:val="0"/>
          <w:numId w:val="11"/>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информация о типовых условиях контрактов, подлежащих применению при закупке товара, работы, услуги (при наличии).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15 ч. 1 ст. 42 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 14 Закона о закупках.</w:t>
      </w:r>
    </w:p>
    <w:p>
      <w:pPr>
        <w:pStyle w:val="Style13"/>
        <w:keepNext w:val="0"/>
        <w:keepLines w:val="0"/>
        <w:widowControl w:val="0"/>
        <w:shd w:val="clear" w:color="auto" w:fill="auto"/>
        <w:bidi w:val="0"/>
        <w:spacing w:before="0" w:after="0" w:line="240" w:lineRule="auto"/>
        <w:ind w:left="0" w:right="0" w:firstLine="740"/>
        <w:jc w:val="both"/>
        <w:sectPr>
          <w:footerReference w:type="default" r:id="rId14"/>
          <w:footerReference w:type="even" r:id="rId15"/>
          <w:footnotePr>
            <w:pos w:val="pageBottom"/>
            <w:numFmt w:val="decimal"/>
            <w:numRestart w:val="continuous"/>
          </w:footnotePr>
          <w:pgSz w:w="11900" w:h="16840"/>
          <w:pgMar w:top="1110" w:right="541" w:bottom="1110"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Согласно ч. 3 ст. 14 Закона о закупках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 4 ст. 14 Закона о закупках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 3 ст. 14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ч. 3, 4 ст. 14 Закона о закупках Правительством Российской Федерации принято постановление Правительства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условия допуска, предусмотренные приказом Минфина России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ПП РФ №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 а также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Подпунктом «б» п. 2 ПП РФ № 102 установлено, что для целей осуществления закупок отдельных видов медицинских изделий, включенных в перечень № 1 или перечень № 2, заказчик отклоняет все заявки, содержащие предложения о поставке отдельных видов указанных медицинских изделий, происходящих из иностранных государств (за исключением государств - членов Евразийского экономического союза), при условии, что на участие в определении поставщика подано не менее 2 заявок, соответствующих требованиям, установленным в извещении об осуществлении закупки, документации о закупке (в случае, если Законом о закупках предусмотрена документация о закупке), которые одновременно для заявок, содержащих предложения о поставке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№2:</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страной происхождения которых являются только государства - члены Евразийского экономического союза;</w:t>
      </w:r>
    </w:p>
    <w:p>
      <w:pPr>
        <w:pStyle w:val="Style13"/>
        <w:keepNext w:val="0"/>
        <w:keepLines w:val="0"/>
        <w:widowControl w:val="0"/>
        <w:numPr>
          <w:ilvl w:val="0"/>
          <w:numId w:val="13"/>
        </w:numPr>
        <w:shd w:val="clear" w:color="auto" w:fill="auto"/>
        <w:tabs>
          <w:tab w:pos="104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 содержат предложений о поставке одного и того же вида медицинского изделия одного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w:t>
      </w:r>
    </w:p>
    <w:p>
      <w:pPr>
        <w:pStyle w:val="Style13"/>
        <w:keepNext w:val="0"/>
        <w:keepLines w:val="0"/>
        <w:widowControl w:val="0"/>
        <w:numPr>
          <w:ilvl w:val="0"/>
          <w:numId w:val="13"/>
        </w:numPr>
        <w:shd w:val="clear" w:color="auto" w:fill="auto"/>
        <w:tabs>
          <w:tab w:pos="1046" w:val="left"/>
        </w:tabs>
        <w:bidi w:val="0"/>
        <w:spacing w:before="0" w:after="0" w:line="305" w:lineRule="auto"/>
        <w:ind w:left="0" w:right="0" w:firstLine="740"/>
        <w:jc w:val="both"/>
        <w:sectPr>
          <w:footnotePr>
            <w:pos w:val="pageBottom"/>
            <w:numFmt w:val="decimal"/>
            <w:numRestart w:val="continuous"/>
          </w:footnotePr>
          <w:pgSz w:w="11900" w:h="16840"/>
          <w:pgMar w:top="1110" w:right="541" w:bottom="564"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процентная доля стоимости использованных материалов (сырья) иностранного происхождения в цене конечной продукции которых соответствует указанной в показателе локализации собственного производства 2025-922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медицинских изделий;</w:t>
      </w:r>
    </w:p>
    <w:p>
      <w:pPr>
        <w:pStyle w:val="Style13"/>
        <w:keepNext w:val="0"/>
        <w:keepLines w:val="0"/>
        <w:widowControl w:val="0"/>
        <w:numPr>
          <w:ilvl w:val="0"/>
          <w:numId w:val="13"/>
        </w:numPr>
        <w:shd w:val="clear" w:color="auto" w:fill="auto"/>
        <w:tabs>
          <w:tab w:pos="103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содержат предложения о поставке указанных медицинских изделий, на производство которых имеется документ, подтверждающий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2(1) ПП РФ № 102 в случае если заявка, которая содержит предложение о поставке медицинских изделий, включенных в перечень № 1 или перечень № 2 и происходящих из иностранных государств (за исключением государств - членов Евразийского экономического союза), не отклоняется в соответствии с установленными настоящим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3 ПП РФ № 102 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w:t>
        <w:softHyphen/>
        <w:t>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с п. 1, 2 ч. 1 ст. 33 Закона о закупках заказчик при описании в документации о закупке объекта закупки должен руководствоваться следующими правилами:</w:t>
      </w:r>
    </w:p>
    <w:p>
      <w:pPr>
        <w:pStyle w:val="Style13"/>
        <w:keepNext w:val="0"/>
        <w:keepLines w:val="0"/>
        <w:widowControl w:val="0"/>
        <w:numPr>
          <w:ilvl w:val="0"/>
          <w:numId w:val="15"/>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13"/>
        <w:keepNext w:val="0"/>
        <w:keepLines w:val="0"/>
        <w:widowControl w:val="0"/>
        <w:numPr>
          <w:ilvl w:val="0"/>
          <w:numId w:val="17"/>
        </w:numPr>
        <w:shd w:val="clear" w:color="auto" w:fill="auto"/>
        <w:tabs>
          <w:tab w:pos="104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сопровождение такого указания словами «или эквивалент»;</w:t>
      </w:r>
    </w:p>
    <w:p>
      <w:pPr>
        <w:pStyle w:val="Style13"/>
        <w:keepNext w:val="0"/>
        <w:keepLines w:val="0"/>
        <w:widowControl w:val="0"/>
        <w:numPr>
          <w:ilvl w:val="0"/>
          <w:numId w:val="17"/>
        </w:numPr>
        <w:shd w:val="clear" w:color="auto" w:fill="auto"/>
        <w:tabs>
          <w:tab w:pos="105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3"/>
        <w:keepNext w:val="0"/>
        <w:keepLines w:val="0"/>
        <w:widowControl w:val="0"/>
        <w:numPr>
          <w:ilvl w:val="0"/>
          <w:numId w:val="17"/>
        </w:numPr>
        <w:shd w:val="clear" w:color="auto" w:fill="auto"/>
        <w:tabs>
          <w:tab w:pos="104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3"/>
        <w:keepNext w:val="0"/>
        <w:keepLines w:val="0"/>
        <w:widowControl w:val="0"/>
        <w:numPr>
          <w:ilvl w:val="0"/>
          <w:numId w:val="17"/>
        </w:numPr>
        <w:shd w:val="clear" w:color="auto" w:fill="auto"/>
        <w:tabs>
          <w:tab w:pos="1039" w:val="left"/>
        </w:tabs>
        <w:bidi w:val="0"/>
        <w:spacing w:before="0" w:after="0" w:line="240" w:lineRule="auto"/>
        <w:ind w:left="0" w:right="0" w:firstLine="740"/>
        <w:jc w:val="both"/>
        <w:sectPr>
          <w:footnotePr>
            <w:pos w:val="pageBottom"/>
            <w:numFmt w:val="decimal"/>
            <w:numRestart w:val="continuous"/>
          </w:footnotePr>
          <w:pgSz w:w="11900" w:h="16840"/>
          <w:pgMar w:top="1110" w:right="541" w:bottom="1110"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3"/>
        <w:keepNext w:val="0"/>
        <w:keepLines w:val="0"/>
        <w:widowControl w:val="0"/>
        <w:numPr>
          <w:ilvl w:val="0"/>
          <w:numId w:val="15"/>
        </w:numPr>
        <w:shd w:val="clear" w:color="auto" w:fill="auto"/>
        <w:tabs>
          <w:tab w:pos="106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 3 ч. 2 ст. 42 Закона о закупках извещение об осуществлении закупки, если иное не предусмотрено Законом о закупках, должно содержать требования к содержанию, составу заявки на участие в закупке в соответствии с Законом о закупках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5 ч. 1 ст. 43 Закона о закупках для участия в конкурентном способе заявка на участие в закупке, если иное не предусмотрено Законом о закупках, должна содержать информацию и документы, предусмотренные нормативными правовыми актами, принятыми в соответствии с ч. 3 и 4 ст. 14 Закона о закупках (в случае, если в извещении об осуществлении закупки, документации о закупке (если Законом о закупках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2 ч. 5 ст. 49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3"/>
        <w:keepNext w:val="0"/>
        <w:keepLines w:val="0"/>
        <w:widowControl w:val="0"/>
        <w:numPr>
          <w:ilvl w:val="0"/>
          <w:numId w:val="19"/>
        </w:numPr>
        <w:shd w:val="clear" w:color="auto" w:fill="auto"/>
        <w:tabs>
          <w:tab w:pos="1043"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3"/>
        <w:keepNext w:val="0"/>
        <w:keepLines w:val="0"/>
        <w:widowControl w:val="0"/>
        <w:numPr>
          <w:ilvl w:val="0"/>
          <w:numId w:val="21"/>
        </w:numPr>
        <w:shd w:val="clear" w:color="auto" w:fill="auto"/>
        <w:tabs>
          <w:tab w:pos="10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 49 Закона о закупках,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 1 - 8 ч. 12 ст. 48 Закона о закупках;</w:t>
      </w:r>
    </w:p>
    <w:p>
      <w:pPr>
        <w:pStyle w:val="Style13"/>
        <w:keepNext w:val="0"/>
        <w:keepLines w:val="0"/>
        <w:widowControl w:val="0"/>
        <w:numPr>
          <w:ilvl w:val="0"/>
          <w:numId w:val="21"/>
        </w:numPr>
        <w:shd w:val="clear" w:color="auto" w:fill="auto"/>
        <w:tabs>
          <w:tab w:pos="1057" w:val="left"/>
        </w:tabs>
        <w:bidi w:val="0"/>
        <w:spacing w:before="0" w:after="0" w:line="276" w:lineRule="auto"/>
        <w:ind w:left="0" w:right="0" w:firstLine="740"/>
        <w:jc w:val="both"/>
        <w:sectPr>
          <w:footnotePr>
            <w:pos w:val="pageBottom"/>
            <w:numFmt w:val="decimal"/>
            <w:numRestart w:val="continuous"/>
          </w:footnotePr>
          <w:pgSz w:w="11900" w:h="16840"/>
          <w:pgMar w:top="1110" w:right="546" w:bottom="598"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п. 1 ч. 5 ст. 49 Закона о закупках,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2025-922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предусмотренного п. 9 ч. 3 ст. 49 Закона о закупках,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закупках,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закупках. Заявке на участие в закупке победителя определения поставщика (подрядчика, исполнителя) присваивается первый номер;</w:t>
      </w:r>
    </w:p>
    <w:p>
      <w:pPr>
        <w:pStyle w:val="Style13"/>
        <w:keepNext w:val="0"/>
        <w:keepLines w:val="0"/>
        <w:widowControl w:val="0"/>
        <w:numPr>
          <w:ilvl w:val="0"/>
          <w:numId w:val="19"/>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п.1, 2, 4 - 7 ч. 17 ст. 48 Закона о закупках.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ч. 12 ст. 48 Закона о закупках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закупках)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закупках (за исключением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2 и 3 ч. 6 ст. 43 Закона о закупках,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закупках, требованиям, установленным в извещении об осуществлении закупки в соответствии с ч. 1.1, 2 и 2.1 (при наличии таких требований) ст. 31 Закона о закупках;</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 14 Закона о закупках (за исключением случаев непредставления информации и документов, предусмотренных п. 5 ч. 1 ст. 43 Закона о закупках);</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 5 ч. 1 ст. 43 Закона о закупках, если такие документы предусмотрены нормативными правовыми актами, принятыми в соответствии с ч. 3 ст. 14 Закона о закупках (в случае установления в соответствии со ст. 14 Закона о закупках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23"/>
        </w:numPr>
        <w:shd w:val="clear" w:color="auto" w:fill="auto"/>
        <w:tabs>
          <w:tab w:pos="108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23"/>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предусмотренных ч. 6 ст. 45 Закона о закупках;</w:t>
      </w:r>
    </w:p>
    <w:p>
      <w:pPr>
        <w:pStyle w:val="Style13"/>
        <w:keepNext w:val="0"/>
        <w:keepLines w:val="0"/>
        <w:widowControl w:val="0"/>
        <w:numPr>
          <w:ilvl w:val="0"/>
          <w:numId w:val="23"/>
        </w:numPr>
        <w:shd w:val="clear" w:color="auto" w:fill="auto"/>
        <w:tabs>
          <w:tab w:pos="1825"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о проведении закупки № 0356200005124000567 объектом закупки является поставка изделий медицинского назначения (Контур дыхательный), соответствующих позиции КТРУ 32.50.13.190-00245.</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Также в соответствии с извещением о проведении закупки Заказчиком установлены ограничения допуска в соответствии с ПП РФ № 102 и условия допуска в соответствии с приказом № 126н.</w:t>
      </w:r>
    </w:p>
    <w:p>
      <w:pPr>
        <w:pStyle w:val="Style13"/>
        <w:keepNext w:val="0"/>
        <w:keepLines w:val="0"/>
        <w:widowControl w:val="0"/>
        <w:shd w:val="clear" w:color="auto" w:fill="auto"/>
        <w:bidi w:val="0"/>
        <w:spacing w:before="0" w:after="0" w:line="240" w:lineRule="auto"/>
        <w:ind w:left="0" w:right="0" w:firstLine="740"/>
        <w:jc w:val="both"/>
        <w:sectPr>
          <w:footnotePr>
            <w:pos w:val="pageBottom"/>
            <w:numFmt w:val="decimal"/>
            <w:numRestart w:val="continuous"/>
          </w:footnotePr>
          <w:pgSz w:w="11900" w:h="16840"/>
          <w:pgMar w:top="1110" w:right="541" w:bottom="1110"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Так, согласно п. 2.1, 3.1 приложения к извещению «Требований к составу и содержанию заявки» заявка должна содержать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w:t>
      </w:r>
    </w:p>
    <w:p>
      <w:pPr>
        <w:pStyle w:val="Style13"/>
        <w:keepNext w:val="0"/>
        <w:keepLines w:val="0"/>
        <w:widowControl w:val="0"/>
        <w:numPr>
          <w:ilvl w:val="0"/>
          <w:numId w:val="25"/>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Копии действующих регистрационных удостоверений, выданных соответствующими уполномоченными Федеральными органами исполнительной власти, с приложениями.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Должна содержать информацию и документы, предусмотренные нормативными правовыми актами, принятыми в соответствии с ч. 3 и 4 ст. 14 Закона о закупках:</w:t>
      </w:r>
    </w:p>
    <w:p>
      <w:pPr>
        <w:pStyle w:val="Style13"/>
        <w:keepNext w:val="0"/>
        <w:keepLines w:val="0"/>
        <w:widowControl w:val="0"/>
        <w:numPr>
          <w:ilvl w:val="0"/>
          <w:numId w:val="25"/>
        </w:numPr>
        <w:shd w:val="clear" w:color="auto" w:fill="auto"/>
        <w:tabs>
          <w:tab w:pos="95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Подтверждением страны происхождения медицинских изделий, включенных в перечень ^ 1 и перечень ^ 2, является сертификат о происхождении товара, выдаваемый уполномоченным органом (организацией) государств - членов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 (в ред. Постановлений Правительства РФ от 16.05.2022 г. № 883, от 28.02.2023 г. № 318) Подтверждением процентной доли стоимости использованных материалов (сырья) иностранного происхождения в цене конечной продукции является выданный Торгово-промышленной палатой Российской Федерации акт экспертизы, содержащий информацию о доле стоимости иностранных материалов (сырья), используемых для производства одной единицы медицинского изделия, рассчитанной в соответствии с пп. «в» п. 2.4 Правил, или аналогичный документ, выданный уполномоченным органом (организацией) государства - члена Евразийского экономического союза. Сертификат по форме СТ-1 и документ, подтверждающий, что доля стоимости использованных материалов (сырья) иностранного происхождения в цене конечной продукции составляет не более 10 процентов для каждого наименования медицинского изделия.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20.01.2025 №ИЭА1 на участие в закупке поступило шесть заявок, признанные Аукционной комиссией соответствующими требованиям извещения. Заявке под идентификационным номером 99 присвоен первый порядковый номер.</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анализа заявок участников закупки Комиссия установила, что в составе заявок представлена следующая информация и документы: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99)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ФСЗ 2009/04992 от 22.03.2023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208)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9)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Турецкая Республика, представлена копия регистрационного удостоверения № ФСЗ 2012/12924 от 05.02.2024 г.;</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30)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Китайская Народная Республика, представлена копия регистрационного удостоверения № РЗН 2020/10881 от 12.10.2020 г.;</w:t>
      </w:r>
    </w:p>
    <w:p>
      <w:pPr>
        <w:pStyle w:val="Style13"/>
        <w:keepNext w:val="0"/>
        <w:keepLines w:val="0"/>
        <w:widowControl w:val="0"/>
        <w:shd w:val="clear" w:color="auto" w:fill="auto"/>
        <w:bidi w:val="0"/>
        <w:spacing w:before="0" w:after="0" w:line="336" w:lineRule="auto"/>
        <w:ind w:left="0" w:right="0" w:firstLine="720"/>
        <w:jc w:val="both"/>
        <w:sectPr>
          <w:footnotePr>
            <w:pos w:val="pageBottom"/>
            <w:numFmt w:val="decimal"/>
            <w:numRestart w:val="continuous"/>
          </w:footnotePr>
          <w:pgSz w:w="11900" w:h="16840"/>
          <w:pgMar w:top="1110" w:right="546" w:bottom="526" w:left="1106"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заявка № 121)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2025-922</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товаров - Республика Беларусь, представлена копия регистрационного удостоверения № ФСЗ 2010/06637 от 30.05.2023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24.1079.026 от 15.11.2024 г. (срок действия сертификата до 15.11.2027 г.), акта экспертизы происхождения товаров № 1/1947-1 от 10.06.2024 г. (срок действия до 10.06.2025 г.), сертификата о происхождении товара по форме СТ-1 № ВТВЦ4101202701;</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заявка № 62) к поставке предложены контуры дыхательные аппарата искусственной вентиляции легких, одноразового использования, продекларирована страна происхождения товаров - Российская Федерация, представлена копия регистрационного удостоверения № РЗН 2020/10066 от 01.11.2024 г., сертификата, подтверждающего соответствие собственного производства требованиям ГОСТ 180 13485-2017 «Межгосударственный стандарт. Изделия медицинские. Системы менеджмента качества. Требования для целей регулирования» № 01.Ки.01.32.1005 от 10.10.2023 г. (срок действия сертификата до 10.10.2026 г.), акта экспертизы происхождения товаров № 030-00-40022 от 01.03.2024 г. (срок действия до 31.12.2024 г.), сертификата о происхождении товара по форме СТ-1 № 4126000587.</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обращает внимание, что на основании п. 3 ПП РФ № 102 принято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отдельных видов медицинских изделий), утвержденное приказом ТПП РФ от 10.04.2015 № 29 (далее - Положение).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абзацем 2 п. 3.2 раздела 3 Положения если иное не предусмотрено настоящим Положением, сертификат формы СТ-1 оформляется на основании первичного акта экспертизы, выполненного экспертами уполномоченной ТПП, которая расположена в месте нахождения непосредственного производителя товара - объекта закупок (его филиала, обособленного подразделения). Указанные первичные акты экспертизы оформляются на постоянную номенклатуру товаров сроком на один год (далее - Годовые акты экспертизы).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Порядок заполнения Годовых актов экспертизы, а также порядок получения таких документов уполномоченными ТПП, которые на их основании непосредственно выдают сертификаты формы СТ-1, утверждаются ТПП России.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3.2 раздела 3 Положения о порядке выдачи сертификатов о происхождении товара формы СТ-1 для целей осуществления закупок для обеспечения государственных и муниципальных нужд (для отдельных видов медицинских изделий), утвержденного приказом ТПП РФ № 29 от 10.04.2015 г. утвержден Порядок заполнения актов экспертизы по определению страны происхождения товаров и соответствия товаров требованиям ПП РФ № 102 (прилагается).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4.3 Порядка заполнения актов экспертизы Акт экспертизы заполняется следующим образом: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2. «Дата составления акта». Указывается дата составления Годового акта экспертизы;</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 3. «Срок действия акта»: указывается дата, до которой действует годовой акт экспертизы (с учетом, что акт составляется сроком на один год).</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20.01.2025 №ИЭА1 заявка Заявителя была подана 15.01.2025 г. в 15:30 ч.</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Исходя из указанного, на момент подачи заявки Заявителем акт экспертизы происхождения товаров № 030-00-40022 от 01.03.2024 г. являлся недействительным, следовательно, не подтверждает процентную долю стоимости использованных материалов (сырья) иностранного происхождения в цене конечной продукции.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Поскольку требования п. 3 ПП РФ № 102 Заявителем не соблюдены, заявка Заявителя в соответствии с требованиям п. 5 ч. 1 ст. 43 Закона о закупках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br w:type="page"/>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поскольку 5 заявок, из 6 поданных, содержат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положения п. 2 ПП РФ № 102 не применяются.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действиях Аукционной комиссии, не применившей положения п. 2 ПП РФ № 102, нарушений положений Закона о закупках не имеется.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pPr>
        <w:pStyle w:val="Style16"/>
        <w:keepNext/>
        <w:keepLines/>
        <w:widowControl w:val="0"/>
        <w:shd w:val="clear" w:color="auto" w:fill="auto"/>
        <w:bidi w:val="0"/>
        <w:spacing w:before="0" w:after="0" w:line="240" w:lineRule="auto"/>
        <w:ind w:left="0" w:right="0" w:firstLine="0"/>
        <w:jc w:val="center"/>
      </w:pPr>
      <w:bookmarkStart w:id="16" w:name="bookmark16"/>
      <w:r>
        <w:rPr>
          <w:color w:val="000000"/>
          <w:spacing w:val="0"/>
          <w:w w:val="100"/>
          <w:position w:val="0"/>
          <w:sz w:val="24"/>
          <w:szCs w:val="24"/>
          <w:shd w:val="clear" w:color="auto" w:fill="auto"/>
          <w:lang w:val="ru-RU" w:eastAsia="ru-RU" w:bidi="ru-RU"/>
        </w:rPr>
        <w:t>РЕШИЛА:</w:t>
      </w:r>
      <w:bookmarkEnd w:id="16"/>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Торговый дом «Медполимерпром» на действия комиссии ГКУ ПК «Центр организации закупок» при проведении электронного аукциона на поставку изделий медицинского назначения (Контур дыхательный) (изв.№ 0356200005124000567) необоснованной.</w:t>
      </w:r>
    </w:p>
    <w:p>
      <w:pPr>
        <w:pStyle w:val="Style13"/>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16"/>
          <w:footerReference w:type="even" r:id="rId17"/>
          <w:footnotePr>
            <w:pos w:val="pageBottom"/>
            <w:numFmt w:val="decimal"/>
            <w:numRestart w:val="continuous"/>
          </w:footnotePr>
          <w:pgSz w:w="11900" w:h="16840"/>
          <w:pgMar w:top="1082" w:right="542" w:bottom="1139" w:left="1105" w:header="654" w:footer="3" w:gutter="0"/>
          <w:cols w:space="720"/>
          <w:noEndnote/>
          <w:rtlGutter w:val="0"/>
          <w:docGrid w:linePitch="360"/>
        </w:sectPr>
      </w:pPr>
      <w:r>
        <mc:AlternateContent>
          <mc:Choice Requires="wps">
            <w:drawing>
              <wp:anchor distT="88900" distB="396240" distL="0" distR="0" simplePos="0" relativeHeight="125829380" behindDoc="0" locked="0" layoutInCell="1" allowOverlap="1">
                <wp:simplePos x="0" y="0"/>
                <wp:positionH relativeFrom="page">
                  <wp:posOffset>739775</wp:posOffset>
                </wp:positionH>
                <wp:positionV relativeFrom="paragraph">
                  <wp:posOffset>88900</wp:posOffset>
                </wp:positionV>
                <wp:extent cx="1667510" cy="213360"/>
                <wp:wrapTopAndBottom/>
                <wp:docPr id="17" name="Shape 17"/>
                <a:graphic xmlns:a="http://schemas.openxmlformats.org/drawingml/2006/main">
                  <a:graphicData uri="http://schemas.microsoft.com/office/word/2010/wordprocessingShape">
                    <wps:wsp>
                      <wps:cNvSpPr txBox="1"/>
                      <wps:spPr>
                        <a:xfrm>
                          <a:ext cx="1667510" cy="21336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3" type="#_x0000_t202" style="position:absolute;margin-left:58.25pt;margin-top:7.pt;width:131.30000000000001pt;height:16.800000000000001pt;z-index:-125829373;mso-wrap-distance-left:0;mso-wrap-distance-top:7.pt;mso-wrap-distance-right:0;mso-wrap-distance-bottom:31.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61925" distB="0" distL="0" distR="1786255" simplePos="0" relativeHeight="125829382" behindDoc="0" locked="0" layoutInCell="1" allowOverlap="1">
            <wp:simplePos x="0" y="0"/>
            <wp:positionH relativeFrom="page">
              <wp:posOffset>2660015</wp:posOffset>
            </wp:positionH>
            <wp:positionV relativeFrom="paragraph">
              <wp:posOffset>161925</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8"/>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3117215</wp:posOffset>
                </wp:positionH>
                <wp:positionV relativeFrom="paragraph">
                  <wp:posOffset>564515</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5000000000002pt;margin-top:44.450000000000003pt;width:101.05pt;height:8.15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3074670</wp:posOffset>
                </wp:positionH>
                <wp:positionV relativeFrom="paragraph">
                  <wp:posOffset>253365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09999999999999pt;margin-top:19.949999999999999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305435" distB="170815" distL="0" distR="0" simplePos="0" relativeHeight="125829383" behindDoc="0" locked="0" layoutInCell="1" allowOverlap="1">
                <wp:simplePos x="0" y="0"/>
                <wp:positionH relativeFrom="page">
                  <wp:posOffset>6101080</wp:posOffset>
                </wp:positionH>
                <wp:positionV relativeFrom="paragraph">
                  <wp:posOffset>305435</wp:posOffset>
                </wp:positionV>
                <wp:extent cx="1088390" cy="222250"/>
                <wp:wrapTopAndBottom/>
                <wp:docPr id="25" name="Shape 25"/>
                <a:graphic xmlns:a="http://schemas.openxmlformats.org/drawingml/2006/main">
                  <a:graphicData uri="http://schemas.microsoft.com/office/word/2010/wordprocessingShape">
                    <wps:wsp>
                      <wps:cNvSpPr txBox="1"/>
                      <wps:spPr>
                        <a:xfrm>
                          <a:ext cx="1088390" cy="2222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wps:txbx>
                      <wps:bodyPr wrap="none" lIns="0" tIns="0" rIns="0" bIns="0">
                        <a:noAutoFit/>
                      </wps:bodyPr>
                    </wps:wsp>
                  </a:graphicData>
                </a:graphic>
              </wp:anchor>
            </w:drawing>
          </mc:Choice>
          <mc:Fallback>
            <w:pict>
              <v:shape id="_x0000_s1051" type="#_x0000_t202" style="position:absolute;margin-left:480.40000000000003pt;margin-top:24.050000000000001pt;width:85.700000000000003pt;height:17.5pt;z-index:-125829370;mso-wrap-distance-left:0;mso-wrap-distance-top:24.050000000000001pt;mso-wrap-distance-right:0;mso-wrap-distance-bottom:13.45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Е.С. Субботина</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Субботина Екатерина Сергеевна</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О0СОС822В29790В5ВЗЕ4ВЕА073ЕВ878651</w:t>
      </w:r>
    </w:p>
    <w:p>
      <w:pPr>
        <w:pStyle w:val="Style26"/>
        <w:keepNext w:val="0"/>
        <w:keepLines w:val="0"/>
        <w:widowControl w:val="0"/>
        <w:shd w:val="clear" w:color="auto" w:fill="auto"/>
        <w:bidi w:val="0"/>
        <w:spacing w:before="0" w:after="6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19.02.2024 </w:t>
      </w:r>
      <w:r>
        <w:rPr>
          <w:color w:val="878787"/>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14.05.2025</w:t>
      </w:r>
    </w:p>
    <w:p>
      <w:pPr>
        <w:pStyle w:val="Style13"/>
        <w:keepNext w:val="0"/>
        <w:keepLines w:val="0"/>
        <w:widowControl w:val="0"/>
        <w:shd w:val="clear" w:color="auto" w:fill="auto"/>
        <w:bidi w:val="0"/>
        <w:spacing w:before="0" w:after="60" w:line="240" w:lineRule="auto"/>
        <w:ind w:left="0" w:right="0" w:firstLine="0"/>
        <w:jc w:val="left"/>
      </w:pPr>
      <w:r>
        <w:rPr>
          <w:b/>
          <w:bCs/>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5" behindDoc="0" locked="0" layoutInCell="1" allowOverlap="1">
            <wp:simplePos x="0" y="0"/>
            <wp:positionH relativeFrom="page">
              <wp:posOffset>2660015</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0"/>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3117215</wp:posOffset>
                </wp:positionH>
                <wp:positionV relativeFrom="paragraph">
                  <wp:posOffset>466090</wp:posOffset>
                </wp:positionV>
                <wp:extent cx="1280160" cy="100330"/>
                <wp:wrapNone/>
                <wp:docPr id="29" name="Shape 2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45000000000002pt;margin-top:36.700000000000003pt;width:100.8pt;height:7.90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3074670</wp:posOffset>
                </wp:positionH>
                <wp:positionV relativeFrom="paragraph">
                  <wp:posOffset>151765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09999999999999pt;margin-top:11.950000000000001pt;width:135.59999999999999pt;height:20.40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b/>
          <w:bCs/>
          <w:color w:val="000000"/>
          <w:spacing w:val="0"/>
          <w:w w:val="100"/>
          <w:position w:val="0"/>
          <w:sz w:val="24"/>
          <w:szCs w:val="24"/>
          <w:shd w:val="clear" w:color="auto" w:fill="auto"/>
          <w:lang w:val="ru-RU" w:eastAsia="ru-RU" w:bidi="ru-RU"/>
        </w:rPr>
        <w:t>М.А. Журавлев</w:t>
      </w:r>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Журавлев Михаил Алексеевич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08В5Е871В9ЕЕЮ2887ЕЕ4ВА36ОС17А75</w:t>
      </w:r>
    </w:p>
    <w:p>
      <w:pPr>
        <w:pStyle w:val="Style26"/>
        <w:keepNext w:val="0"/>
        <w:keepLines w:val="0"/>
        <w:widowControl w:val="0"/>
        <w:shd w:val="clear" w:color="auto" w:fill="auto"/>
        <w:bidi w:val="0"/>
        <w:spacing w:before="0" w:after="320" w:line="240" w:lineRule="auto"/>
        <w:ind w:right="0" w:firstLine="0"/>
        <w:jc w:val="left"/>
      </w:pPr>
      <w:r>
        <w:rPr>
          <w:color w:val="656565"/>
          <w:spacing w:val="0"/>
          <w:w w:val="100"/>
          <w:position w:val="0"/>
          <w:shd w:val="clear" w:color="auto" w:fill="auto"/>
          <w:lang w:val="ru-RU" w:eastAsia="ru-RU" w:bidi="ru-RU"/>
        </w:rPr>
        <w:t>Действителен с 31.07.2024 по 24.10.2025</w:t>
      </w:r>
    </w:p>
    <w:p>
      <w:pPr>
        <w:pStyle w:val="Style16"/>
        <w:keepNext/>
        <w:keepLines/>
        <w:widowControl w:val="0"/>
        <w:shd w:val="clear" w:color="auto" w:fill="auto"/>
        <w:bidi w:val="0"/>
        <w:spacing w:before="0" w:after="680" w:line="240" w:lineRule="auto"/>
        <w:ind w:left="0" w:right="0" w:firstLine="0"/>
        <w:jc w:val="right"/>
      </w:pPr>
      <w:r>
        <w:drawing>
          <wp:anchor distT="0" distB="0" distL="114300" distR="1900555" simplePos="0" relativeHeight="125829386" behindDoc="0" locked="0" layoutInCell="1" allowOverlap="1">
            <wp:simplePos x="0" y="0"/>
            <wp:positionH relativeFrom="page">
              <wp:posOffset>2660015</wp:posOffset>
            </wp:positionH>
            <wp:positionV relativeFrom="paragraph">
              <wp:posOffset>63500</wp:posOffset>
            </wp:positionV>
            <wp:extent cx="353695" cy="53657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2"/>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466090</wp:posOffset>
                </wp:positionV>
                <wp:extent cx="1280160" cy="100330"/>
                <wp:wrapNone/>
                <wp:docPr id="35" name="Shape 3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5.45000000000002pt;margin-top:36.700000000000003pt;width:100.8pt;height:7.90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3074670</wp:posOffset>
                </wp:positionH>
                <wp:positionV relativeFrom="paragraph">
                  <wp:posOffset>151765</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63" type="#_x0000_t202" style="position:absolute;margin-left:242.09999999999999pt;margin-top:11.95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bookmarkStart w:id="18" w:name="bookmark18"/>
      <w:r>
        <w:rPr>
          <w:color w:val="000000"/>
          <w:spacing w:val="0"/>
          <w:w w:val="100"/>
          <w:position w:val="0"/>
          <w:sz w:val="24"/>
          <w:szCs w:val="24"/>
          <w:shd w:val="clear" w:color="auto" w:fill="auto"/>
          <w:lang w:val="ru-RU" w:eastAsia="ru-RU" w:bidi="ru-RU"/>
        </w:rPr>
        <w:t>А.М. Чудинов</w:t>
      </w:r>
      <w:bookmarkEnd w:id="18"/>
    </w:p>
    <w:p>
      <w:pPr>
        <w:pStyle w:val="Style26"/>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56565"/>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Чудинов Артём Михайлович</w:t>
      </w:r>
    </w:p>
    <w:p>
      <w:pPr>
        <w:pStyle w:val="Style2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008006Е91930АЗВ96В99ВЕВЗЗАВ8Е5ВС38</w:t>
      </w:r>
    </w:p>
    <w:p>
      <w:pPr>
        <w:pStyle w:val="Style26"/>
        <w:keepNext w:val="0"/>
        <w:keepLines w:val="0"/>
        <w:widowControl w:val="0"/>
        <w:shd w:val="clear" w:color="auto" w:fill="auto"/>
        <w:bidi w:val="0"/>
        <w:spacing w:before="0" w:after="4140" w:line="240" w:lineRule="auto"/>
        <w:ind w:right="0" w:firstLine="0"/>
        <w:jc w:val="left"/>
      </w:pPr>
      <w:r>
        <w:rPr>
          <w:color w:val="656565"/>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56565"/>
          <w:spacing w:val="0"/>
          <w:w w:val="100"/>
          <w:position w:val="0"/>
          <w:shd w:val="clear" w:color="auto" w:fill="auto"/>
          <w:lang w:val="ru-RU" w:eastAsia="ru-RU" w:bidi="ru-RU"/>
        </w:rPr>
        <w:t xml:space="preserve">06.09.2024 </w:t>
      </w:r>
      <w:r>
        <w:rPr>
          <w:color w:val="878787"/>
          <w:spacing w:val="0"/>
          <w:w w:val="100"/>
          <w:position w:val="0"/>
          <w:shd w:val="clear" w:color="auto" w:fill="auto"/>
          <w:lang w:val="ru-RU" w:eastAsia="ru-RU" w:bidi="ru-RU"/>
        </w:rPr>
        <w:t xml:space="preserve">по </w:t>
      </w:r>
      <w:r>
        <w:rPr>
          <w:color w:val="656565"/>
          <w:spacing w:val="0"/>
          <w:w w:val="100"/>
          <w:position w:val="0"/>
          <w:shd w:val="clear" w:color="auto" w:fill="auto"/>
          <w:lang w:val="ru-RU" w:eastAsia="ru-RU" w:bidi="ru-RU"/>
        </w:rPr>
        <w:t>30.11.2025</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Исп.Журавлев М.А. тел.8(342)235-12-89</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10033635</wp:posOffset>
              </wp:positionV>
              <wp:extent cx="572770" cy="100330"/>
              <wp:wrapNone/>
              <wp:docPr id="5" name="Shape 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56.800000000000004pt;margin-top:790.05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721360</wp:posOffset>
              </wp:positionH>
              <wp:positionV relativeFrom="page">
                <wp:posOffset>10033635</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wps:txbx>
                    <wps:bodyPr wrap="none" lIns="0" tIns="0" rIns="0" bIns="0">
                      <a:spAutoFit/>
                    </wps:bodyPr>
                  </wps:wsp>
                </a:graphicData>
              </a:graphic>
            </wp:anchor>
          </w:drawing>
        </mc:Choice>
        <mc:Fallback>
          <w:pict>
            <v:shape id="_x0000_s1033" type="#_x0000_t202" style="position:absolute;margin-left:56.800000000000004pt;margin-top:790.05000000000007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572770" cy="100330"/>
              <wp:wrapNone/>
              <wp:docPr id="9" name="Shape 9"/>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wps:txbx>
                    <wps:bodyPr wrap="none" lIns="0" tIns="0" rIns="0" bIns="0">
                      <a:spAutoFit/>
                    </wps:bodyPr>
                  </wps:wsp>
                </a:graphicData>
              </a:graphic>
            </wp:anchor>
          </w:drawing>
        </mc:Choice>
        <mc:Fallback>
          <w:pict>
            <v:shape id="_x0000_s1035" type="#_x0000_t202" style="position:absolute;margin-left:57.pt;margin-top:776.20000000000005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721360</wp:posOffset>
              </wp:positionH>
              <wp:positionV relativeFrom="page">
                <wp:posOffset>10033635</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wps:txbx>
                    <wps:bodyPr wrap="none" lIns="0" tIns="0" rIns="0" bIns="0">
                      <a:spAutoFit/>
                    </wps:bodyPr>
                  </wps:wsp>
                </a:graphicData>
              </a:graphic>
            </wp:anchor>
          </w:drawing>
        </mc:Choice>
        <mc:Fallback>
          <w:pict>
            <v:shape id="_x0000_s1037" type="#_x0000_t202" style="position:absolute;margin-left:56.800000000000004pt;margin-top:790.05000000000007pt;width:45.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721360</wp:posOffset>
              </wp:positionH>
              <wp:positionV relativeFrom="page">
                <wp:posOffset>10033635</wp:posOffset>
              </wp:positionV>
              <wp:extent cx="572770" cy="100330"/>
              <wp:wrapNone/>
              <wp:docPr id="13" name="Shape 1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wps:txbx>
                    <wps:bodyPr wrap="none" lIns="0" tIns="0" rIns="0" bIns="0">
                      <a:spAutoFit/>
                    </wps:bodyPr>
                  </wps:wsp>
                </a:graphicData>
              </a:graphic>
            </wp:anchor>
          </w:drawing>
        </mc:Choice>
        <mc:Fallback>
          <w:pict>
            <v:shape id="_x0000_s1039" type="#_x0000_t202" style="position:absolute;margin-left:56.800000000000004pt;margin-top:790.05000000000007pt;width:45.100000000000001pt;height:7.9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721360</wp:posOffset>
              </wp:positionH>
              <wp:positionV relativeFrom="page">
                <wp:posOffset>10033635</wp:posOffset>
              </wp:positionV>
              <wp:extent cx="572770" cy="100330"/>
              <wp:wrapNone/>
              <wp:docPr id="15" name="Shape 1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wps:txbx>
                    <wps:bodyPr wrap="none" lIns="0" tIns="0" rIns="0" bIns="0">
                      <a:spAutoFit/>
                    </wps:bodyPr>
                  </wps:wsp>
                </a:graphicData>
              </a:graphic>
            </wp:anchor>
          </w:drawing>
        </mc:Choice>
        <mc:Fallback>
          <w:pict>
            <v:shape id="_x0000_s1041" type="#_x0000_t202" style="position:absolute;margin-left:56.800000000000004pt;margin-top:790.05000000000007pt;width:45.100000000000001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2025-922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7">
    <w:name w:val="Заголовок №3_"/>
    <w:basedOn w:val="DefaultParagraphFont"/>
    <w:link w:val="Style16"/>
    <w:rPr>
      <w:rFonts w:ascii="Times New Roman" w:eastAsia="Times New Roman" w:hAnsi="Times New Roman" w:cs="Times New Roman"/>
      <w:b/>
      <w:bCs/>
      <w:i w:val="0"/>
      <w:iCs w:val="0"/>
      <w:smallCaps w:val="0"/>
      <w:strike w:val="0"/>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2">
    <w:name w:val="Подпись к картинке_"/>
    <w:basedOn w:val="DefaultParagraphFont"/>
    <w:link w:val="Style21"/>
    <w:rPr>
      <w:rFonts w:ascii="Georgia" w:eastAsia="Georgia" w:hAnsi="Georgia" w:cs="Georgia"/>
      <w:b w:val="0"/>
      <w:bCs w:val="0"/>
      <w:i w:val="0"/>
      <w:iCs w:val="0"/>
      <w:smallCaps w:val="0"/>
      <w:strike w:val="0"/>
      <w:color w:val="1F1F1F"/>
      <w:sz w:val="11"/>
      <w:szCs w:val="11"/>
      <w:u w:val="none"/>
    </w:rPr>
  </w:style>
  <w:style w:type="character" w:customStyle="1" w:styleId="CharStyle27">
    <w:name w:val="Основной текст (2)_"/>
    <w:basedOn w:val="DefaultParagraphFont"/>
    <w:link w:val="Style26"/>
    <w:rPr>
      <w:rFonts w:ascii="Arial" w:eastAsia="Arial" w:hAnsi="Arial" w:cs="Arial"/>
      <w:b w:val="0"/>
      <w:bCs w:val="0"/>
      <w:i w:val="0"/>
      <w:iCs w:val="0"/>
      <w:smallCaps w:val="0"/>
      <w:strike w:val="0"/>
      <w:color w:val="404040"/>
      <w:sz w:val="12"/>
      <w:szCs w:val="12"/>
      <w:u w:val="none"/>
    </w:rPr>
  </w:style>
  <w:style w:type="paragraph" w:customStyle="1" w:styleId="Style2">
    <w:name w:val="Основной текст (3)"/>
    <w:basedOn w:val="Normal"/>
    <w:link w:val="CharStyle3"/>
    <w:pPr>
      <w:widowControl w:val="0"/>
      <w:shd w:val="clear" w:color="auto" w:fill="auto"/>
      <w:spacing w:after="30" w:line="269"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Заголовок №2"/>
    <w:basedOn w:val="Normal"/>
    <w:link w:val="CharStyle11"/>
    <w:pPr>
      <w:widowControl w:val="0"/>
      <w:shd w:val="clear" w:color="auto" w:fill="auto"/>
      <w:spacing w:after="320"/>
      <w:ind w:firstLine="14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Заголовок №3"/>
    <w:basedOn w:val="Normal"/>
    <w:link w:val="CharStyle17"/>
    <w:pPr>
      <w:widowControl w:val="0"/>
      <w:shd w:val="clear" w:color="auto" w:fill="auto"/>
      <w:outlineLvl w:val="2"/>
    </w:pPr>
    <w:rPr>
      <w:rFonts w:ascii="Times New Roman" w:eastAsia="Times New Roman" w:hAnsi="Times New Roman" w:cs="Times New Roman"/>
      <w:b/>
      <w:bCs/>
      <w:i w:val="0"/>
      <w:iCs w:val="0"/>
      <w:smallCaps w:val="0"/>
      <w:strike w:val="0"/>
      <w:u w:val="none"/>
    </w:rPr>
  </w:style>
  <w:style w:type="paragraph" w:customStyle="1" w:styleId="Style18">
    <w:name w:val="Заголовок №1"/>
    <w:basedOn w:val="Normal"/>
    <w:link w:val="CharStyle19"/>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1">
    <w:name w:val="Подпись к картинке"/>
    <w:basedOn w:val="Normal"/>
    <w:link w:val="CharStyle22"/>
    <w:pPr>
      <w:widowControl w:val="0"/>
      <w:shd w:val="clear" w:color="auto" w:fill="auto"/>
    </w:pPr>
    <w:rPr>
      <w:rFonts w:ascii="Georgia" w:eastAsia="Georgia" w:hAnsi="Georgia" w:cs="Georgia"/>
      <w:b w:val="0"/>
      <w:bCs w:val="0"/>
      <w:i w:val="0"/>
      <w:iCs w:val="0"/>
      <w:smallCaps w:val="0"/>
      <w:strike w:val="0"/>
      <w:color w:val="1F1F1F"/>
      <w:sz w:val="11"/>
      <w:szCs w:val="11"/>
      <w:u w:val="none"/>
    </w:rPr>
  </w:style>
  <w:style w:type="paragraph" w:customStyle="1" w:styleId="Style26">
    <w:name w:val="Основной текст (2)"/>
    <w:basedOn w:val="Normal"/>
    <w:link w:val="CharStyle27"/>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footer" Target="footer6.xml"/><Relationship Id="rId15" Type="http://schemas.openxmlformats.org/officeDocument/2006/relationships/footer" Target="footer7.xml"/><Relationship Id="rId16" Type="http://schemas.openxmlformats.org/officeDocument/2006/relationships/footer" Target="footer8.xml"/><Relationship Id="rId17" Type="http://schemas.openxmlformats.org/officeDocument/2006/relationships/footer" Target="footer9.xml"/><Relationship Id="rId18" Type="http://schemas.openxmlformats.org/officeDocument/2006/relationships/image" Target="media/image3.jpeg"/><Relationship Id="rId19" Type="http://schemas.openxmlformats.org/officeDocument/2006/relationships/image" Target="media/image3.jpeg" TargetMode="External"/><Relationship Id="rId20" Type="http://schemas.openxmlformats.org/officeDocument/2006/relationships/image" Target="media/image4.jpeg"/><Relationship Id="rId21" Type="http://schemas.openxmlformats.org/officeDocument/2006/relationships/image" Target="media/image4.jpeg" TargetMode="External"/><Relationship Id="rId22" Type="http://schemas.openxmlformats.org/officeDocument/2006/relationships/image" Target="media/image5.jpeg"/><Relationship Id="rId23" Type="http://schemas.openxmlformats.org/officeDocument/2006/relationships/image" Target="media/image5.jpeg" TargetMode="External"/></Relationships>
</file>