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Пермскому краю</w:t>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Ленина, 64, г. Пермь, 614990</w:t>
        <w:br/>
        <w:t>тел. (342) 235-12-00, факс (342) 235-10-67</w:t>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е-таИ: 1о59@Газ.§оу.ги</w:t>
      </w:r>
    </w:p>
    <w:p>
      <w:pPr>
        <w:pStyle w:val="Style5"/>
        <w:keepNext w:val="0"/>
        <w:keepLines w:val="0"/>
        <w:widowControl w:val="0"/>
        <w:shd w:val="clear" w:color="auto" w:fill="auto"/>
        <w:bidi w:val="0"/>
        <w:spacing w:before="0" w:after="60"/>
        <w:ind w:left="0" w:right="0" w:firstLine="0"/>
        <w:jc w:val="center"/>
      </w:pPr>
      <w:r>
        <w:rPr>
          <w:spacing w:val="0"/>
          <w:w w:val="100"/>
          <w:position w:val="0"/>
          <w:shd w:val="clear" w:color="auto" w:fill="auto"/>
          <w:lang w:val="ru-RU" w:eastAsia="ru-RU" w:bidi="ru-RU"/>
        </w:rPr>
        <w:t>сайт: тс\с.регт.1гь.росте</w:t>
      </w:r>
    </w:p>
    <w:p>
      <w:pPr>
        <w:pStyle w:val="Style10"/>
        <w:keepNext/>
        <w:keepLines/>
        <w:widowControl w:val="0"/>
        <w:shd w:val="clear" w:color="auto" w:fill="auto"/>
        <w:tabs>
          <w:tab w:pos="1978" w:val="left"/>
        </w:tabs>
        <w:bidi w:val="0"/>
        <w:spacing w:before="0" w:line="240" w:lineRule="auto"/>
        <w:ind w:left="0" w:right="0"/>
        <w:jc w:val="left"/>
      </w:pPr>
      <w:r>
        <w:fldChar w:fldCharType="begin"/>
      </w:r>
      <w:r>
        <w:rPr/>
        <w:instrText> HYPERLINK "file://f207ca94-a13c-4ba0-b72d-f018c9eed8f1/" </w:instrText>
      </w:r>
      <w:r>
        <w:fldChar w:fldCharType="separate"/>
      </w:r>
      <w:bookmarkStart w:id="0" w:name="bookmark0"/>
      <w:r>
        <w:rPr>
          <w:color w:val="000000"/>
          <w:spacing w:val="0"/>
          <w:w w:val="100"/>
          <w:position w:val="0"/>
          <w:shd w:val="clear" w:color="auto" w:fill="auto"/>
          <w:lang w:val="ru-RU" w:eastAsia="ru-RU" w:bidi="ru-RU"/>
        </w:rPr>
        <w:t>31.01.2025</w:t>
      </w:r>
      <w:r>
        <w:fldChar w:fldCharType="end"/>
      </w:r>
      <w:r>
        <w:rPr>
          <w:color w:val="000000"/>
          <w:spacing w:val="0"/>
          <w:w w:val="100"/>
          <w:position w:val="0"/>
          <w:shd w:val="clear" w:color="auto" w:fill="auto"/>
          <w:lang w:val="ru-RU" w:eastAsia="ru-RU" w:bidi="ru-RU"/>
        </w:rPr>
        <w:tab/>
        <w:t>№ 837/25</w:t>
      </w:r>
      <w:bookmarkEnd w:id="0"/>
    </w:p>
    <w:p>
      <w:pPr>
        <w:pStyle w:val="Style8"/>
        <w:keepNext w:val="0"/>
        <w:keepLines w:val="0"/>
        <w:widowControl w:val="0"/>
        <w:shd w:val="clear" w:color="auto" w:fill="auto"/>
        <w:bidi w:val="0"/>
        <w:spacing w:before="0" w:after="620" w:line="264"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Решение</w:t>
      </w:r>
    </w:p>
    <w:p>
      <w:pPr>
        <w:pStyle w:val="Style15"/>
        <w:keepNext/>
        <w:keepLines/>
        <w:widowControl w:val="0"/>
        <w:shd w:val="clear" w:color="auto" w:fill="auto"/>
        <w:bidi w:val="0"/>
        <w:spacing w:before="0" w:after="0" w:line="240" w:lineRule="auto"/>
        <w:ind w:left="0" w:right="0" w:firstLine="0"/>
        <w:jc w:val="left"/>
      </w:pPr>
      <w:bookmarkStart w:id="2" w:name="bookmark2"/>
      <w:r>
        <w:rPr>
          <w:color w:val="000000"/>
          <w:spacing w:val="0"/>
          <w:w w:val="100"/>
          <w:position w:val="0"/>
          <w:sz w:val="24"/>
          <w:szCs w:val="24"/>
          <w:shd w:val="clear" w:color="auto" w:fill="auto"/>
          <w:lang w:val="ru-RU" w:eastAsia="ru-RU" w:bidi="ru-RU"/>
        </w:rPr>
        <w:t>ООО «Пермская Медицинская Компания»</w:t>
      </w:r>
      <w:bookmarkEnd w:id="2"/>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614000, г. Пермь, ул. Советская, д. 40, кв. 2</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1епдег1@тедк1оп.ш</w:t>
      </w:r>
    </w:p>
    <w:p>
      <w:pPr>
        <w:pStyle w:val="Style15"/>
        <w:keepNext/>
        <w:keepLines/>
        <w:widowControl w:val="0"/>
        <w:shd w:val="clear" w:color="auto" w:fill="auto"/>
        <w:bidi w:val="0"/>
        <w:spacing w:before="0" w:after="0" w:line="240" w:lineRule="auto"/>
        <w:ind w:left="0" w:right="0" w:firstLine="0"/>
        <w:jc w:val="left"/>
      </w:pPr>
      <w:bookmarkStart w:id="4" w:name="bookmark4"/>
      <w:r>
        <w:rPr>
          <w:color w:val="000000"/>
          <w:spacing w:val="0"/>
          <w:w w:val="100"/>
          <w:position w:val="0"/>
          <w:sz w:val="24"/>
          <w:szCs w:val="24"/>
          <w:shd w:val="clear" w:color="auto" w:fill="auto"/>
          <w:lang w:val="ru-RU" w:eastAsia="ru-RU" w:bidi="ru-RU"/>
        </w:rPr>
        <w:t>ГБУЗ ПК «Пермский краевой онкологический диспансер»</w:t>
      </w:r>
      <w:bookmarkEnd w:id="4"/>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614066, г. Пермь, ул. Баумана, 15</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е1епа-ркод@таП.ги</w:t>
      </w:r>
    </w:p>
    <w:p>
      <w:pPr>
        <w:pStyle w:val="Style15"/>
        <w:keepNext/>
        <w:keepLines/>
        <w:widowControl w:val="0"/>
        <w:shd w:val="clear" w:color="auto" w:fill="auto"/>
        <w:bidi w:val="0"/>
        <w:spacing w:before="0" w:after="0" w:line="240" w:lineRule="auto"/>
        <w:ind w:left="0" w:right="0" w:firstLine="0"/>
        <w:jc w:val="left"/>
      </w:pPr>
      <w:bookmarkStart w:id="6" w:name="bookmark6"/>
      <w:r>
        <w:rPr>
          <w:color w:val="000000"/>
          <w:spacing w:val="0"/>
          <w:w w:val="100"/>
          <w:position w:val="0"/>
          <w:sz w:val="24"/>
          <w:szCs w:val="24"/>
          <w:shd w:val="clear" w:color="auto" w:fill="auto"/>
          <w:lang w:val="ru-RU" w:eastAsia="ru-RU" w:bidi="ru-RU"/>
        </w:rPr>
        <w:t>Комиссия ГКУ ПК «Центр организации закупок»</w:t>
      </w:r>
      <w:bookmarkEnd w:id="6"/>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614990, г. Пермь, ул. Петропавловская, д. 53, оф. 100</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тГо@сх.регткгаЁш</w:t>
      </w:r>
    </w:p>
    <w:p>
      <w:pPr>
        <w:pStyle w:val="Style15"/>
        <w:keepNext/>
        <w:keepLines/>
        <w:widowControl w:val="0"/>
        <w:shd w:val="clear" w:color="auto" w:fill="auto"/>
        <w:bidi w:val="0"/>
        <w:spacing w:before="0" w:after="0" w:line="240" w:lineRule="auto"/>
        <w:ind w:left="0" w:right="0" w:firstLine="0"/>
        <w:jc w:val="left"/>
      </w:pPr>
      <w:bookmarkStart w:id="8" w:name="bookmark8"/>
      <w:r>
        <w:rPr>
          <w:color w:val="000000"/>
          <w:spacing w:val="0"/>
          <w:w w:val="100"/>
          <w:position w:val="0"/>
          <w:sz w:val="24"/>
          <w:szCs w:val="24"/>
          <w:shd w:val="clear" w:color="auto" w:fill="auto"/>
          <w:lang w:val="ru-RU" w:eastAsia="ru-RU" w:bidi="ru-RU"/>
        </w:rPr>
        <w:t>АО «Сбербанк-АСТ»</w:t>
      </w:r>
      <w:bookmarkEnd w:id="8"/>
    </w:p>
    <w:p>
      <w:pPr>
        <w:pStyle w:val="Style13"/>
        <w:keepNext w:val="0"/>
        <w:keepLines w:val="0"/>
        <w:widowControl w:val="0"/>
        <w:shd w:val="clear" w:color="auto" w:fill="auto"/>
        <w:bidi w:val="0"/>
        <w:spacing w:before="0" w:after="0" w:line="240" w:lineRule="auto"/>
        <w:ind w:left="0" w:right="0" w:firstLine="0"/>
        <w:jc w:val="left"/>
        <w:sectPr>
          <w:footerReference w:type="default" r:id="rId7"/>
          <w:footerReference w:type="first" r:id="rId8"/>
          <w:footnotePr>
            <w:pos w:val="pageBottom"/>
            <w:numFmt w:val="decimal"/>
            <w:numRestart w:val="continuous"/>
          </w:footnotePr>
          <w:pgSz w:w="11900" w:h="16840"/>
          <w:pgMar w:top="284" w:right="786" w:bottom="1231" w:left="1140" w:header="0" w:footer="3" w:gutter="0"/>
          <w:pgNumType w:start="1"/>
          <w:cols w:num="2" w:space="720" w:equalWidth="0">
            <w:col w:w="4061" w:space="1205"/>
            <w:col w:w="4709"/>
          </w:cols>
          <w:noEndnote/>
          <w:titlePg/>
          <w:rtlGutter w:val="0"/>
          <w:docGrid w:linePitch="360"/>
        </w:sectPr>
      </w:pPr>
      <w:r>
        <w:rPr>
          <w:color w:val="000000"/>
          <w:spacing w:val="0"/>
          <w:w w:val="100"/>
          <w:position w:val="0"/>
          <w:sz w:val="24"/>
          <w:szCs w:val="24"/>
          <w:shd w:val="clear" w:color="auto" w:fill="auto"/>
          <w:lang w:val="ru-RU" w:eastAsia="ru-RU" w:bidi="ru-RU"/>
        </w:rPr>
        <w:t>ко@8ЬегЬапк-аз1.ги</w:t>
      </w:r>
    </w:p>
    <w:p>
      <w:pPr>
        <w:widowControl w:val="0"/>
        <w:spacing w:before="92" w:after="9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316" w:right="0" w:bottom="1198" w:left="0" w:header="0" w:footer="3" w:gutter="0"/>
          <w:cols w:space="720"/>
          <w:noEndnote/>
          <w:rtlGutter w:val="0"/>
          <w:docGrid w:linePitch="360"/>
        </w:sectPr>
      </w:pPr>
    </w:p>
    <w:p>
      <w:pPr>
        <w:pStyle w:val="Style15"/>
        <w:keepNext/>
        <w:keepLines/>
        <w:widowControl w:val="0"/>
        <w:shd w:val="clear" w:color="auto" w:fill="auto"/>
        <w:bidi w:val="0"/>
        <w:spacing w:before="0" w:after="0" w:line="240" w:lineRule="auto"/>
        <w:ind w:left="0" w:right="0" w:firstLine="0"/>
        <w:jc w:val="center"/>
      </w:pPr>
      <w:bookmarkStart w:id="10" w:name="bookmark10"/>
      <w:r>
        <w:rPr>
          <w:color w:val="000000"/>
          <w:spacing w:val="0"/>
          <w:w w:val="100"/>
          <w:position w:val="0"/>
          <w:sz w:val="24"/>
          <w:szCs w:val="24"/>
          <w:shd w:val="clear" w:color="auto" w:fill="auto"/>
          <w:lang w:val="ru-RU" w:eastAsia="ru-RU" w:bidi="ru-RU"/>
        </w:rPr>
        <w:t>РЕШЕНИЕ по делу № 059/06/105-54/2025</w:t>
      </w:r>
      <w:bookmarkEnd w:id="10"/>
    </w:p>
    <w:p>
      <w:pPr>
        <w:pStyle w:val="Style13"/>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(жалоба ООО «Пермская Медицинская Компания», вх.№ 793/25 от 22.01.2025 г.)</w:t>
      </w:r>
    </w:p>
    <w:p>
      <w:pPr>
        <w:pStyle w:val="Style15"/>
        <w:keepNext/>
        <w:keepLines/>
        <w:widowControl w:val="0"/>
        <w:shd w:val="clear" w:color="auto" w:fill="auto"/>
        <w:tabs>
          <w:tab w:pos="9216" w:val="left"/>
        </w:tabs>
        <w:bidi w:val="0"/>
        <w:spacing w:before="0" w:after="0" w:line="240" w:lineRule="auto"/>
        <w:ind w:left="0" w:right="0" w:firstLine="0"/>
        <w:jc w:val="both"/>
      </w:pPr>
      <w:bookmarkStart w:id="12" w:name="bookmark12"/>
      <w:r>
        <w:rPr>
          <w:color w:val="000000"/>
          <w:spacing w:val="0"/>
          <w:w w:val="100"/>
          <w:position w:val="0"/>
          <w:sz w:val="24"/>
          <w:szCs w:val="24"/>
          <w:shd w:val="clear" w:color="auto" w:fill="auto"/>
          <w:lang w:val="ru-RU" w:eastAsia="ru-RU" w:bidi="ru-RU"/>
        </w:rPr>
        <w:t>28.01.2025 г.</w:t>
        <w:tab/>
        <w:t>г. Пермь</w:t>
      </w:r>
      <w:bookmarkEnd w:id="12"/>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Пермскому краю (далее - Комиссия) в составе:</w:t>
      </w:r>
    </w:p>
    <w:p>
      <w:pPr>
        <w:pStyle w:val="Style13"/>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z w:val="24"/>
          <w:szCs w:val="24"/>
          <w:shd w:val="clear" w:color="auto" w:fill="auto"/>
          <w:lang w:val="ru-RU" w:eastAsia="ru-RU" w:bidi="ru-RU"/>
        </w:rPr>
        <w:t xml:space="preserve">Председатель Комиссии - Субботина Е.С., </w:t>
      </w:r>
      <w:r>
        <w:rPr>
          <w:color w:val="000000"/>
          <w:spacing w:val="0"/>
          <w:w w:val="100"/>
          <w:position w:val="0"/>
          <w:sz w:val="24"/>
          <w:szCs w:val="24"/>
          <w:shd w:val="clear" w:color="auto" w:fill="auto"/>
          <w:lang w:val="ru-RU" w:eastAsia="ru-RU" w:bidi="ru-RU"/>
        </w:rPr>
        <w:t>начальник отдела контроля закупок,</w:t>
      </w:r>
    </w:p>
    <w:p>
      <w:pPr>
        <w:pStyle w:val="Style13"/>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z w:val="24"/>
          <w:szCs w:val="24"/>
          <w:shd w:val="clear" w:color="auto" w:fill="auto"/>
          <w:lang w:val="ru-RU" w:eastAsia="ru-RU" w:bidi="ru-RU"/>
        </w:rPr>
        <w:t>члены комиссии:</w:t>
      </w:r>
    </w:p>
    <w:p>
      <w:pPr>
        <w:pStyle w:val="Style13"/>
        <w:keepNext w:val="0"/>
        <w:keepLines w:val="0"/>
        <w:widowControl w:val="0"/>
        <w:numPr>
          <w:ilvl w:val="0"/>
          <w:numId w:val="1"/>
        </w:numPr>
        <w:shd w:val="clear" w:color="auto" w:fill="auto"/>
        <w:tabs>
          <w:tab w:pos="1007" w:val="left"/>
        </w:tabs>
        <w:bidi w:val="0"/>
        <w:spacing w:before="0" w:after="0" w:line="240" w:lineRule="auto"/>
        <w:ind w:left="0" w:right="0" w:firstLine="740"/>
        <w:jc w:val="both"/>
      </w:pPr>
      <w:r>
        <w:rPr>
          <w:b/>
          <w:bCs/>
          <w:color w:val="000000"/>
          <w:spacing w:val="0"/>
          <w:w w:val="100"/>
          <w:position w:val="0"/>
          <w:sz w:val="24"/>
          <w:szCs w:val="24"/>
          <w:shd w:val="clear" w:color="auto" w:fill="auto"/>
          <w:lang w:val="ru-RU" w:eastAsia="ru-RU" w:bidi="ru-RU"/>
        </w:rPr>
        <w:t xml:space="preserve">Журавев М.А., </w:t>
      </w:r>
      <w:r>
        <w:rPr>
          <w:color w:val="000000"/>
          <w:spacing w:val="0"/>
          <w:w w:val="100"/>
          <w:position w:val="0"/>
          <w:sz w:val="24"/>
          <w:szCs w:val="24"/>
          <w:shd w:val="clear" w:color="auto" w:fill="auto"/>
          <w:lang w:val="ru-RU" w:eastAsia="ru-RU" w:bidi="ru-RU"/>
        </w:rPr>
        <w:t>ведущий специалист-эксперт отдела контроля закупок,</w:t>
      </w:r>
    </w:p>
    <w:p>
      <w:pPr>
        <w:pStyle w:val="Style13"/>
        <w:keepNext w:val="0"/>
        <w:keepLines w:val="0"/>
        <w:widowControl w:val="0"/>
        <w:numPr>
          <w:ilvl w:val="0"/>
          <w:numId w:val="1"/>
        </w:numPr>
        <w:shd w:val="clear" w:color="auto" w:fill="auto"/>
        <w:tabs>
          <w:tab w:pos="1002" w:val="left"/>
        </w:tabs>
        <w:bidi w:val="0"/>
        <w:spacing w:before="0" w:after="0" w:line="240" w:lineRule="auto"/>
        <w:ind w:left="0" w:right="0" w:firstLine="740"/>
        <w:jc w:val="both"/>
      </w:pPr>
      <w:r>
        <w:rPr>
          <w:b/>
          <w:bCs/>
          <w:color w:val="000000"/>
          <w:spacing w:val="0"/>
          <w:w w:val="100"/>
          <w:position w:val="0"/>
          <w:sz w:val="24"/>
          <w:szCs w:val="24"/>
          <w:shd w:val="clear" w:color="auto" w:fill="auto"/>
          <w:lang w:val="ru-RU" w:eastAsia="ru-RU" w:bidi="ru-RU"/>
        </w:rPr>
        <w:t xml:space="preserve">Чудинов А.М., </w:t>
      </w:r>
      <w:r>
        <w:rPr>
          <w:color w:val="000000"/>
          <w:spacing w:val="0"/>
          <w:w w:val="100"/>
          <w:position w:val="0"/>
          <w:sz w:val="24"/>
          <w:szCs w:val="24"/>
          <w:shd w:val="clear" w:color="auto" w:fill="auto"/>
          <w:lang w:val="ru-RU" w:eastAsia="ru-RU" w:bidi="ru-RU"/>
        </w:rPr>
        <w:t>специалист-эксперт отдела контроля закупок,</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при участии посредством ВКС: представителя ООО «Пермская Медицинская Компания» - Максимова Д.З. (на основании решения), представителя комиссии ГКУ ПК «Центр организации закупок» - Филимоновой П.А. (на основании доверенности), представителя ООО Торговый дом «Медполимерпром» - Ширшова К.М. (на основании доверенности)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отсутствие представителя ГБУЗ ПК «Пермский краевой онкологический диспансер» (извещен надлежащим образом),</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рассмотрев жалобу ООО «Пермская Медицинская Компания» (далее - Заявитель) на действия комиссии ГКУ ПК «Центр организации закупок» (далее - Аукционная комиссия) при проведении электронного аукциона на поставку изделий медицинского назначения (Контур дыхательный) (изв.№ 0356200005124000567),</w:t>
      </w:r>
    </w:p>
    <w:p>
      <w:pPr>
        <w:pStyle w:val="Style15"/>
        <w:keepNext/>
        <w:keepLines/>
        <w:widowControl w:val="0"/>
        <w:shd w:val="clear" w:color="auto" w:fill="auto"/>
        <w:bidi w:val="0"/>
        <w:spacing w:before="0" w:after="0" w:line="240" w:lineRule="auto"/>
        <w:ind w:left="0" w:right="0" w:firstLine="0"/>
        <w:jc w:val="center"/>
      </w:pPr>
      <w:bookmarkStart w:id="14" w:name="bookmark14"/>
      <w:r>
        <w:rPr>
          <w:color w:val="000000"/>
          <w:spacing w:val="0"/>
          <w:w w:val="100"/>
          <w:position w:val="0"/>
          <w:sz w:val="24"/>
          <w:szCs w:val="24"/>
          <w:shd w:val="clear" w:color="auto" w:fill="auto"/>
          <w:lang w:val="ru-RU" w:eastAsia="ru-RU" w:bidi="ru-RU"/>
        </w:rPr>
        <w:t>УСТАНОВИЛА:</w:t>
      </w:r>
      <w:bookmarkEnd w:id="14"/>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Заявитель полагает, что нормы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закупках) нарушены действиями Аукционной комиссии.</w:t>
      </w:r>
    </w:p>
    <w:p>
      <w:pPr>
        <w:pStyle w:val="Style13"/>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z w:val="24"/>
          <w:szCs w:val="24"/>
          <w:shd w:val="clear" w:color="auto" w:fill="auto"/>
          <w:lang w:val="ru-RU" w:eastAsia="ru-RU" w:bidi="ru-RU"/>
        </w:rPr>
        <w:t>В ходе рассмотрения жалобы и в ходе проведения внеплановой проверки, осуществленной Комиссией Пермского УФАС России в соответствии с ч. 3 ст. 99 Закона о закупках установлено следующее.</w:t>
      </w:r>
    </w:p>
    <w:p>
      <w:pPr>
        <w:pStyle w:val="Style13"/>
        <w:keepNext w:val="0"/>
        <w:keepLines w:val="0"/>
        <w:widowControl w:val="0"/>
        <w:shd w:val="clear" w:color="auto" w:fill="auto"/>
        <w:bidi w:val="0"/>
        <w:spacing w:before="0" w:after="440" w:line="240" w:lineRule="auto"/>
        <w:ind w:left="0" w:right="0" w:firstLine="740"/>
        <w:jc w:val="both"/>
      </w:pPr>
      <w:r>
        <w:rPr>
          <w:color w:val="000000"/>
          <w:spacing w:val="0"/>
          <w:w w:val="100"/>
          <w:position w:val="0"/>
          <w:sz w:val="24"/>
          <w:szCs w:val="24"/>
          <w:shd w:val="clear" w:color="auto" w:fill="auto"/>
          <w:lang w:val="ru-RU" w:eastAsia="ru-RU" w:bidi="ru-RU"/>
        </w:rPr>
        <w:t>Согласно извещению № 0356200005124000567 Заказчиком проводился электронный аукцион на поставку изделий медицинского назначения (Контур дыхательный).</w:t>
      </w:r>
    </w:p>
    <w:p>
      <w:pPr>
        <w:pStyle w:val="Style18"/>
        <w:keepNext/>
        <w:keepLines/>
        <w:widowControl w:val="0"/>
        <w:shd w:val="clear" w:color="auto" w:fill="auto"/>
        <w:bidi w:val="0"/>
        <w:spacing w:before="0" w:line="240" w:lineRule="auto"/>
        <w:ind w:left="0" w:right="0" w:firstLine="0"/>
        <w:jc w:val="both"/>
      </w:pPr>
      <w:bookmarkStart w:id="16" w:name="bookmark16"/>
      <w:r>
        <w:rPr>
          <w:color w:val="000000"/>
          <w:spacing w:val="0"/>
          <w:w w:val="100"/>
          <w:position w:val="0"/>
          <w:shd w:val="clear" w:color="auto" w:fill="auto"/>
          <w:lang w:val="ru-RU" w:eastAsia="ru-RU" w:bidi="ru-RU"/>
        </w:rPr>
        <w:t>111111111111111111111111</w:t>
      </w:r>
      <w:bookmarkEnd w:id="16"/>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извещением о проведении электронного аукциона:</w:t>
      </w:r>
    </w:p>
    <w:p>
      <w:pPr>
        <w:pStyle w:val="Style13"/>
        <w:keepNext w:val="0"/>
        <w:keepLines w:val="0"/>
        <w:widowControl w:val="0"/>
        <w:numPr>
          <w:ilvl w:val="0"/>
          <w:numId w:val="3"/>
        </w:numPr>
        <w:shd w:val="clear" w:color="auto" w:fill="auto"/>
        <w:tabs>
          <w:tab w:pos="102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извещение о проведении электронного аукциона размещено в единой информационной системе в сфере закупок \\л\л\-.хакирк1.до\'.ги (далее - ЕИС) - 28.12.2024 г.</w:t>
      </w:r>
    </w:p>
    <w:p>
      <w:pPr>
        <w:pStyle w:val="Style13"/>
        <w:keepNext w:val="0"/>
        <w:keepLines w:val="0"/>
        <w:widowControl w:val="0"/>
        <w:numPr>
          <w:ilvl w:val="0"/>
          <w:numId w:val="3"/>
        </w:numPr>
        <w:shd w:val="clear" w:color="auto" w:fill="auto"/>
        <w:tabs>
          <w:tab w:pos="171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способ определения поставщика (подрядчика, исполнителя) - Аукцион;</w:t>
      </w:r>
    </w:p>
    <w:p>
      <w:pPr>
        <w:pStyle w:val="Style13"/>
        <w:keepNext w:val="0"/>
        <w:keepLines w:val="0"/>
        <w:widowControl w:val="0"/>
        <w:numPr>
          <w:ilvl w:val="0"/>
          <w:numId w:val="3"/>
        </w:numPr>
        <w:shd w:val="clear" w:color="auto" w:fill="auto"/>
        <w:tabs>
          <w:tab w:pos="171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начальная максимальная цена контракта - 2 968 591,50 руб.;</w:t>
      </w:r>
    </w:p>
    <w:p>
      <w:pPr>
        <w:pStyle w:val="Style13"/>
        <w:keepNext w:val="0"/>
        <w:keepLines w:val="0"/>
        <w:widowControl w:val="0"/>
        <w:numPr>
          <w:ilvl w:val="0"/>
          <w:numId w:val="3"/>
        </w:numPr>
        <w:shd w:val="clear" w:color="auto" w:fill="auto"/>
        <w:tabs>
          <w:tab w:pos="171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дата окончания подачи заявок - 16.01.2025 г.</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Заявитель полагает, что в нарушение требований ст. 14 Закона о закупках Аукционной комиссией не были применены положения Постановления Правительства от 05.02.2015 г.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 ПП РФ № 102), в части отклонения заявок, содержащих предложения о поставе товаров иностранного происхождения, поскольку на участие в закупке поступило не менее двух заявок, содержащих предложение о поставке товаров, страной происхождения которых являются страны - члены Евразийского экономического союза.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письменных пояснениях, а также в ходе заседания Комиссии, представитель Аукционной комиссии указал, что на основании постановления ПП РФ № 102 принято Положение о порядке выдачи сертификатов о происхождении товаров формы СТ-1 для целей осуществления закупок для обеспечения государственных и муниципальных нужд (для отдельных видов медицинских изделий), утвержденное приказом ТПП РФ от 10.04.2015 № 29 (далее - Положение). В соответствии с абзацем 2 п. 3.2 Положения порядок заполнения годовых актов экспертизы, а также порядок получения таких документов уполномоченными ТПП, которые на их основании непосредственно выдают сертификаты формы СТ-1, утверждаются ТПП России. В соответствии с данной нормой приказом ТПП РФ от 10.04.2015 № 30 порядок заполнения актов экспертизы по определению страны происхождения товаров и соответствия товаров требованиям постановления Правительства РФ «Об установлении ограничения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от 5 февраля 2015 года № 102» (далее - Порядок заполнения актов экспертизы). В соответствии с п. 4.3 Порядка заполнения актов экспертизы Акт экспертизы заполняется следующим образом: пункт 3. «Срок действия акта»: указывается дата, до которой действует годовой акт экспертизы (с учетом, что акт составляется сроком на один год). В соответствии с п. 3.1 «Требований к содержанию, составу заявки на участие в закупке и инструкции по ее заполнению» (далее - Требований):</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«Подтверждением страны происхождения медицинских изделий, включенных в перечень № 1 и перечень № 2, является сертификат о происхождении товара, выдаваемый уполномоченным органом (организацией) государств - членов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(далее - Правила), и в соответствии с критериями определения страны происхождения товаров, предусмотренными Правилами. (в ред. Постановлений Правительства РФ от 16.05.2022 № 883, от 28.02.2023 № 318) Подтверждением процентной доли стоимости использованных материалов (сырья) иностранного происхождения в цене конечной продукции является выданный Торгово-промышленной палатой Российской Федерации акт экспертизы, содержащий информацию о доле стоимости иностранных материалов (сырья), используемых для производства одной единицы медицинского изделия, рассчитанной в соответствии с подпунктом «в» пункта 2.4 Правил, или аналогичный документ, выданный уполномоченным органом (организацией) государства - члена Евразийского экономического союза. Сертификат по форме СТ-1 и документ, подтверждающий, что доля стоимости использованных материалов (сырья) иностранного происхождения в цене конечной продукции составляет не более 10 процентов для каждого наименования медицинского изделия».</w:t>
      </w:r>
    </w:p>
    <w:p>
      <w:pPr>
        <w:pStyle w:val="Style13"/>
        <w:keepNext w:val="0"/>
        <w:keepLines w:val="0"/>
        <w:widowControl w:val="0"/>
        <w:shd w:val="clear" w:color="auto" w:fill="auto"/>
        <w:bidi w:val="0"/>
        <w:spacing w:before="0" w:after="0" w:line="240" w:lineRule="auto"/>
        <w:ind w:left="0" w:right="0" w:firstLine="720"/>
        <w:jc w:val="both"/>
        <w:sectPr>
          <w:footnotePr>
            <w:pos w:val="pageBottom"/>
            <w:numFmt w:val="decimal"/>
            <w:numRestart w:val="continuous"/>
          </w:footnotePr>
          <w:type w:val="continuous"/>
          <w:pgSz w:w="11900" w:h="16840"/>
          <w:pgMar w:top="316" w:right="540" w:bottom="1198" w:left="1098"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Согласно протоколу подведения итогов определения поставщика (подрядчика, исполнителя) от 15.01.2025 №ИЭА1 на участие в закупке поступило 6 заявок. В результате анализа заявки Заявителя было установлено, что к поставке последним предлагаются контуры дыхательные</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 xml:space="preserve">аппарата искусственной вентиляции легких, одноразового использования, производителя ООО «Ассомедика» (РУ ФСЗ 2010/06637) (Республика Беларусь). Также в составе заявки Заявителем были приложены сертификаты по форме СТ-1 № 4101202701 и № 4101194701, а также акт экспертизы № 1/1947-1 от 10.06.2024 г. действующий до 10.06.2025 г. Вместе с тем, участником с идентификационным номером заявки 62 к поставке предлагаются контуры дыхательные аппарата искусственной вентиляции легких, одноразового использования производителя АО «НПП «ИНТЕРОКО» (РУ № РЗН 2020/10066). Участником приложен сертификат по форме СТ-1 № 4126000603, а также акт экспертизы № 030-00-40022 от 01.03.2024 г. действующий до 31.12.2024 г. Таким образом, на момент подачи заявки (15.01.2025 г. в 13:30:36), а также на момент подведения итогов определения поставщика (20.01.2025 г.) срок действия акта экспертизы № 030-00-40022 истек, а, следовательно, участником с идентификационным номером заявки 62 в нарушение п. 3.1 Требований не представлено надлежащего акта экспертизы, содержащего информацию о доле стоимости иностранных материалов (сырья), используемых для производства одной единицы медицинского изделия. Поскольку в соответствии с п. 2 ПП РФ № 102 отклонение заявок, содержащих предложение о поставке изделий, происходящих из иностранных государств, осуществляется лишь в случае, если на участие в определении поставщика подано </w:t>
      </w:r>
      <w:r>
        <w:rPr>
          <w:color w:val="000000"/>
          <w:spacing w:val="0"/>
          <w:w w:val="100"/>
          <w:position w:val="0"/>
          <w:sz w:val="24"/>
          <w:szCs w:val="24"/>
          <w:u w:val="single"/>
          <w:shd w:val="clear" w:color="auto" w:fill="auto"/>
          <w:lang w:val="ru-RU" w:eastAsia="ru-RU" w:bidi="ru-RU"/>
        </w:rPr>
        <w:t>не менее 2 заявок,</w:t>
      </w:r>
      <w:r>
        <w:rPr>
          <w:color w:val="000000"/>
          <w:spacing w:val="0"/>
          <w:w w:val="100"/>
          <w:position w:val="0"/>
          <w:sz w:val="24"/>
          <w:szCs w:val="24"/>
          <w:shd w:val="clear" w:color="auto" w:fill="auto"/>
          <w:lang w:val="ru-RU" w:eastAsia="ru-RU" w:bidi="ru-RU"/>
        </w:rPr>
        <w:t xml:space="preserve"> соответствующих требованиям вышеуказанного пункта, при этом заявки участников № 30, 9, 208 и 99 содержат предложение о поставке товаров, происходящих из иностранных государств (Турция и Китай соответственно), у Аукционной комиссии не имелось оснований для применения условий ограничения допуска отдельных видов медицинских изделий, происходящих из иностранных государств.</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письменных дополнениях Аукционная комиссия отметила, что обязанность по установлению соответствующего ограничения в извещение возникает в случае, если закупаемый товар входит в один из перечней, утвержденный ПП РФ № 102 (в период действия постановления и утвержденных им перечней), при этом обязанность по применению такого ограничения действует с момента его установления в извещении и до окончания исполнения контракта включительно (так, например, п. 3(1) и п. 3(2) ПП РФ № 102 регламентируют отношения между поставщиком и заказчиком в ходе исполнения контракта в части порядка замены медицинского изделия в ходе поставки). Постановление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(на основании которого ПП РФ № 102 признано утратившим силу), отменяющее действие ряда актов, не содержит положений, из которых следует необходимость его применения к отношениям, возникшим до введения его в действие. Кроме того, согласно положениям абз. 1 п. 1. ст. 4 ГК РФ: акты гражданского законодательства не имеют обратной силы и применяются к отношениям, возникшим после введения их в действие.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 5 ч. 1 ст. 42 Закона о закупках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 6 ст. 23 Закона о закупках,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силу ч. 6 ст. 23 Закона о закупках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3"/>
        <w:keepNext w:val="0"/>
        <w:keepLines w:val="0"/>
        <w:widowControl w:val="0"/>
        <w:shd w:val="clear" w:color="auto" w:fill="auto"/>
        <w:bidi w:val="0"/>
        <w:spacing w:before="0" w:after="0" w:line="336" w:lineRule="auto"/>
        <w:ind w:left="0" w:right="0" w:firstLine="740"/>
        <w:jc w:val="both"/>
      </w:pPr>
      <w:r>
        <w:rPr>
          <w:color w:val="000000"/>
          <w:spacing w:val="0"/>
          <w:w w:val="100"/>
          <w:position w:val="0"/>
          <w:sz w:val="24"/>
          <w:szCs w:val="24"/>
          <w:shd w:val="clear" w:color="auto" w:fill="auto"/>
          <w:lang w:val="ru-RU" w:eastAsia="ru-RU" w:bidi="ru-RU"/>
        </w:rPr>
        <w:t>Правила использования каталога товаров, работ, услуг для обеспечения государственных и муниципальных нужд утверждены постановлением Правительства Российской Федерации от 8 2025-924</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формирования, Правила использования).</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пп. «б» п. 2 Правил использования КТРУ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силу п. 4 Правил использования Заказчики обязаны применять информацию, включенную в позицию каталога в соответствии с пп. «б» - «г» и «е» - «з» п.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3"/>
        <w:keepNext w:val="0"/>
        <w:keepLines w:val="0"/>
        <w:widowControl w:val="0"/>
        <w:numPr>
          <w:ilvl w:val="0"/>
          <w:numId w:val="5"/>
        </w:numPr>
        <w:shd w:val="clear" w:color="auto" w:fill="auto"/>
        <w:tabs>
          <w:tab w:pos="104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наименование товара, работы, услуги;</w:t>
      </w:r>
    </w:p>
    <w:p>
      <w:pPr>
        <w:pStyle w:val="Style13"/>
        <w:keepNext w:val="0"/>
        <w:keepLines w:val="0"/>
        <w:widowControl w:val="0"/>
        <w:numPr>
          <w:ilvl w:val="0"/>
          <w:numId w:val="5"/>
        </w:numPr>
        <w:shd w:val="clear" w:color="auto" w:fill="auto"/>
        <w:tabs>
          <w:tab w:pos="1057"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3"/>
        <w:keepNext w:val="0"/>
        <w:keepLines w:val="0"/>
        <w:widowControl w:val="0"/>
        <w:numPr>
          <w:ilvl w:val="0"/>
          <w:numId w:val="5"/>
        </w:numPr>
        <w:shd w:val="clear" w:color="auto" w:fill="auto"/>
        <w:tabs>
          <w:tab w:pos="1053"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описание товара, работы, услуги (при наличии такого описания в позиции).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 5 Правил использования Заказчик вправе указать в извещении об осуществлении закупки, приглашении и документации о закупке (в случае если Законом о закупках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 33 Закона о закупках, которые не предусмотрены в позиции каталога, за исключением случаев:</w:t>
      </w:r>
    </w:p>
    <w:p>
      <w:pPr>
        <w:pStyle w:val="Style13"/>
        <w:keepNext w:val="0"/>
        <w:keepLines w:val="0"/>
        <w:widowControl w:val="0"/>
        <w:numPr>
          <w:ilvl w:val="0"/>
          <w:numId w:val="7"/>
        </w:numPr>
        <w:shd w:val="clear" w:color="auto" w:fill="auto"/>
        <w:tabs>
          <w:tab w:pos="104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осуществления закупки радиоэлектронной продукции, включенной в пункты 22, 23 и 29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pPr>
        <w:pStyle w:val="Style13"/>
        <w:keepNext w:val="0"/>
        <w:keepLines w:val="0"/>
        <w:widowControl w:val="0"/>
        <w:numPr>
          <w:ilvl w:val="0"/>
          <w:numId w:val="7"/>
        </w:numPr>
        <w:shd w:val="clear" w:color="auto" w:fill="auto"/>
        <w:tabs>
          <w:tab w:pos="1057" w:val="left"/>
        </w:tabs>
        <w:bidi w:val="0"/>
        <w:spacing w:before="0" w:after="0" w:line="336" w:lineRule="auto"/>
        <w:ind w:left="0" w:right="0" w:firstLine="740"/>
        <w:jc w:val="both"/>
        <w:sectPr>
          <w:footerReference w:type="default" r:id="rId9"/>
          <w:footnotePr>
            <w:pos w:val="pageBottom"/>
            <w:numFmt w:val="decimal"/>
            <w:numRestart w:val="continuous"/>
          </w:footnotePr>
          <w:pgSz w:w="11900" w:h="16840"/>
          <w:pgMar w:top="1110" w:right="534" w:bottom="526" w:left="1099" w:header="682" w:footer="98" w:gutter="0"/>
          <w:cols w:space="720"/>
          <w:noEndnote/>
          <w:rtlGutter w:val="0"/>
          <w:docGrid w:linePitch="360"/>
        </w:sectPr>
      </w:pPr>
      <w:r>
        <w:rPr>
          <w:color w:val="000000"/>
          <w:spacing w:val="0"/>
          <w:w w:val="100"/>
          <w:position w:val="0"/>
          <w:sz w:val="24"/>
          <w:szCs w:val="24"/>
          <w:shd w:val="clear" w:color="auto" w:fill="auto"/>
          <w:lang w:val="ru-RU" w:eastAsia="ru-RU" w:bidi="ru-RU"/>
        </w:rPr>
        <w:t>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 5 ст. 33 2025-924</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Закона о закупках.</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 6 Правил использования в случае предоставления дополнительной информации, предусмотренной п. 5 Правил использования,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 7 Правил использования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 33 Закона о закупках. При проведении предусмотренных Законом о закупках электронных процедур, закрытых электронных процедур характеристики объекта закупки, предусмотренные п. 1 ч. 1 ст. 33 Закона о закупках,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 1 ст. 42, п. 1 ч. 1 ст. 75 Закона о закупках соответственно.</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пп. «а», «д» п. 10 Правил формирования в позицию каталога включается:</w:t>
      </w:r>
    </w:p>
    <w:p>
      <w:pPr>
        <w:pStyle w:val="Style13"/>
        <w:keepNext w:val="0"/>
        <w:keepLines w:val="0"/>
        <w:widowControl w:val="0"/>
        <w:numPr>
          <w:ilvl w:val="0"/>
          <w:numId w:val="9"/>
        </w:numPr>
        <w:shd w:val="clear" w:color="auto" w:fill="auto"/>
        <w:tabs>
          <w:tab w:pos="1003"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код позиции каталога, формируемый в соответствии с п. 12 настоящих Правил формирования;</w:t>
      </w:r>
    </w:p>
    <w:p>
      <w:pPr>
        <w:pStyle w:val="Style13"/>
        <w:keepNext w:val="0"/>
        <w:keepLines w:val="0"/>
        <w:widowControl w:val="0"/>
        <w:numPr>
          <w:ilvl w:val="0"/>
          <w:numId w:val="9"/>
        </w:numPr>
        <w:shd w:val="clear" w:color="auto" w:fill="auto"/>
        <w:tabs>
          <w:tab w:pos="1714"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справочная информация:</w:t>
      </w:r>
    </w:p>
    <w:p>
      <w:pPr>
        <w:pStyle w:val="Style13"/>
        <w:keepNext w:val="0"/>
        <w:keepLines w:val="0"/>
        <w:widowControl w:val="0"/>
        <w:numPr>
          <w:ilvl w:val="0"/>
          <w:numId w:val="11"/>
        </w:numPr>
        <w:shd w:val="clear" w:color="auto" w:fill="auto"/>
        <w:tabs>
          <w:tab w:pos="105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коды, соответствующие товару, работе, услуге согласно российским и международным системам классификации, каталогизации (при наличии);</w:t>
      </w:r>
    </w:p>
    <w:p>
      <w:pPr>
        <w:pStyle w:val="Style13"/>
        <w:keepNext w:val="0"/>
        <w:keepLines w:val="0"/>
        <w:widowControl w:val="0"/>
        <w:numPr>
          <w:ilvl w:val="0"/>
          <w:numId w:val="11"/>
        </w:numPr>
        <w:shd w:val="clear" w:color="auto" w:fill="auto"/>
        <w:tabs>
          <w:tab w:pos="1057"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информация о типовых условиях контрактов, подлежащих применению при закупке товара, работы, услуги (при наличии).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 12 Правил формирования позиции каталога формируется на каждую позицию каталога и представляет собой уникальный цифровой код на основе кода Общероссийского классификатора продукции по видам экономической деятельности (ОКПД2) ОК 034-2014.</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 15 ч. 1 ст. 42 Закона о закупах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 14 Закона о закупках.</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ч. 3 ст. 14 Закона о закупках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3"/>
        <w:keepNext w:val="0"/>
        <w:keepLines w:val="0"/>
        <w:widowControl w:val="0"/>
        <w:shd w:val="clear" w:color="auto" w:fill="auto"/>
        <w:bidi w:val="0"/>
        <w:spacing w:before="0" w:after="0" w:line="240" w:lineRule="auto"/>
        <w:ind w:left="0" w:right="0" w:firstLine="740"/>
        <w:jc w:val="both"/>
        <w:sectPr>
          <w:footerReference w:type="default" r:id="rId10"/>
          <w:footnotePr>
            <w:pos w:val="pageBottom"/>
            <w:numFmt w:val="decimal"/>
            <w:numRestart w:val="continuous"/>
          </w:footnotePr>
          <w:pgSz w:w="11900" w:h="16840"/>
          <w:pgMar w:top="1110" w:right="541" w:bottom="1110" w:left="1106" w:header="682" w:footer="3" w:gutter="0"/>
          <w:cols w:space="720"/>
          <w:noEndnote/>
          <w:rtlGutter w:val="0"/>
          <w:docGrid w:linePitch="360"/>
        </w:sectPr>
      </w:pPr>
      <w:r>
        <w:rPr>
          <w:color w:val="000000"/>
          <w:spacing w:val="0"/>
          <w:w w:val="100"/>
          <w:position w:val="0"/>
          <w:sz w:val="24"/>
          <w:szCs w:val="24"/>
          <w:shd w:val="clear" w:color="auto" w:fill="auto"/>
          <w:lang w:val="ru-RU" w:eastAsia="ru-RU" w:bidi="ru-RU"/>
        </w:rPr>
        <w:t>В соответствии с ч. 4 ст. 14 Закона о закупках Федеральный орган исполнительной власти</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 3 ст. 14 Закона о закупках.</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Во исполнение ч. 3, 4 ст. 14 Закона о закупках Правительством Российской Федерации принято постановление Правительства от 05.02.2015 г.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условия допуска, предусмотренные приказом Минфина России от 04.06.2018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Пунктом 1 ПП РФ № 102 утвержден перечень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 1), а также перечень медицинских изделий одноразового применения (использования) из поливинилхлоридных пластиков и иных пластиков, полимеров и материалов,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 2).</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Подпунктом «б» п. 2 ПП РФ № 102 установлено, что для целей осуществления закупок отдельных видов медицинских изделий, включенных в перечень № 1 или перечень № 2, заказчик отклоняет все заявки, содержащие предложения о поставке отдельных видов указанных медицинских изделий, происходящих из иностранных государств (за исключением государств - членов Евразийского экономического союза), при условии, что на участие в определении поставщика подано не менее 2 заявок, соответствующих требованиям, установленным в извещении об осуществлении закупки, документации о закупке (в случае, если Законом о закупках предусмотрена документация о закупке), которые одновременно для заявок, содержащих предложения о поставке медицинских изделий одноразового применения (использования) из поливинилхлоридных пластиков и иных пластиков, полимеров и материалов, включенных в перечень №2:</w:t>
      </w:r>
    </w:p>
    <w:p>
      <w:pPr>
        <w:pStyle w:val="Style13"/>
        <w:keepNext w:val="0"/>
        <w:keepLines w:val="0"/>
        <w:widowControl w:val="0"/>
        <w:numPr>
          <w:ilvl w:val="0"/>
          <w:numId w:val="13"/>
        </w:numPr>
        <w:shd w:val="clear" w:color="auto" w:fill="auto"/>
        <w:tabs>
          <w:tab w:pos="1046"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содержат предложения о поставке указанных медицинских изделий, страной происхождения которых являются только государства - члены Евразийского экономического союза;</w:t>
      </w:r>
    </w:p>
    <w:p>
      <w:pPr>
        <w:pStyle w:val="Style13"/>
        <w:keepNext w:val="0"/>
        <w:keepLines w:val="0"/>
        <w:widowControl w:val="0"/>
        <w:numPr>
          <w:ilvl w:val="0"/>
          <w:numId w:val="13"/>
        </w:numPr>
        <w:shd w:val="clear" w:color="auto" w:fill="auto"/>
        <w:tabs>
          <w:tab w:pos="1046"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 ст. 9 Федерального закона «О защите конкуренции», при сопоставлении этих заявок;</w:t>
      </w:r>
    </w:p>
    <w:p>
      <w:pPr>
        <w:pStyle w:val="Style13"/>
        <w:keepNext w:val="0"/>
        <w:keepLines w:val="0"/>
        <w:widowControl w:val="0"/>
        <w:numPr>
          <w:ilvl w:val="0"/>
          <w:numId w:val="13"/>
        </w:numPr>
        <w:shd w:val="clear" w:color="auto" w:fill="auto"/>
        <w:tabs>
          <w:tab w:pos="1046"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содержат предложения о поставке указанных медицинских изделий, процентная доля стоимости использованных материалов (сырья) иностранного происхождения в цене конечной продукции которых соответствует указанной в показателе локализации собственного производства медицинских изделий;</w:t>
      </w:r>
    </w:p>
    <w:p>
      <w:pPr>
        <w:pStyle w:val="Style13"/>
        <w:keepNext w:val="0"/>
        <w:keepLines w:val="0"/>
        <w:widowControl w:val="0"/>
        <w:numPr>
          <w:ilvl w:val="0"/>
          <w:numId w:val="13"/>
        </w:numPr>
        <w:shd w:val="clear" w:color="auto" w:fill="auto"/>
        <w:tabs>
          <w:tab w:pos="1046"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содержат предложения о поставке указанных медицинских изделий, на производство которых имеется документ, подтверждающий соответствие собственного производства требованиям ГОСТ 180 13485-2017 «Межгосударственный стандарт. Изделия медицинские. Системы менеджмента качества. Требования для целей регулирования».</w:t>
      </w:r>
    </w:p>
    <w:p>
      <w:pPr>
        <w:pStyle w:val="Style13"/>
        <w:keepNext w:val="0"/>
        <w:keepLines w:val="0"/>
        <w:widowControl w:val="0"/>
        <w:shd w:val="clear" w:color="auto" w:fill="auto"/>
        <w:bidi w:val="0"/>
        <w:spacing w:before="0" w:after="0" w:line="276" w:lineRule="auto"/>
        <w:ind w:left="0" w:right="0" w:firstLine="740"/>
        <w:jc w:val="both"/>
        <w:sectPr>
          <w:footerReference w:type="default" r:id="rId11"/>
          <w:footnotePr>
            <w:pos w:val="pageBottom"/>
            <w:numFmt w:val="decimal"/>
            <w:numRestart w:val="continuous"/>
          </w:footnotePr>
          <w:pgSz w:w="11900" w:h="16840"/>
          <w:pgMar w:top="1110" w:right="541" w:bottom="598" w:left="1106" w:header="682" w:footer="170" w:gutter="0"/>
          <w:cols w:space="720"/>
          <w:noEndnote/>
          <w:rtlGutter w:val="0"/>
          <w:docGrid w:linePitch="360"/>
        </w:sectPr>
      </w:pPr>
      <w:r>
        <w:rPr>
          <w:color w:val="000000"/>
          <w:spacing w:val="0"/>
          <w:w w:val="100"/>
          <w:position w:val="0"/>
          <w:sz w:val="24"/>
          <w:szCs w:val="24"/>
          <w:shd w:val="clear" w:color="auto" w:fill="auto"/>
          <w:lang w:val="ru-RU" w:eastAsia="ru-RU" w:bidi="ru-RU"/>
        </w:rPr>
        <w:t>В силу п. 2(1) ПП РФ № 102 в случае если заявка, которая содержит предложение о поставке медицинских изделий, включенных в перечень № 1 или перечень № 2 и происходящих из иностранных государств (за исключением государств - членов Евразийского экономического союза), не отклоняется в соответствии с установленными настоящим постановлением ограничениями, применяются условия допуска для целей осуществления закупок товаров, 2025-924</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 3 ПП РФ № 102 подтверждением страны происхождения медицинских изделий, включенных в перечень № 1 и перечень № 2, является сертификат о происхождении товара, выдаваемый уполномоченным органом (организацией) государств - членов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(далее - Правила), и в соответствии с критериями определения страны происхождения товаров, предусмотренными Правилами.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Подтверждением процентной доли стоимости использованных материалов (сырья) иностранного происхождения в цене конечной продукции является выданный Торгово</w:t>
        <w:softHyphen/>
        <w:t>промышленной палатой Российской Федерации акт экспертизы, содержащий информацию о доле стоимости иностранных материалов (сырья), используемых для производства одной единицы медицинского изделия, рассчитанной в соответствии с пп. «в» п. 2.4 Правил, или аналогичный документ, выданный уполномоченным органом (организацией) государства - члена Евразийского экономического союза.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 1 ч. 2 ст. 42 Закона о закупках извещение об осуществлении закупки, если иное не предусмотрено Закона о закупках, должно содержать описание объекта закупки в соответствии со ст. 33 Закона о закупках.</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силу с п. 1, 2 ч. 1 ст. 33 Закона о закупках заказчик при описании в документации о закупке объекта закупки должен руководствоваться следующими правилами:</w:t>
      </w:r>
    </w:p>
    <w:p>
      <w:pPr>
        <w:pStyle w:val="Style13"/>
        <w:keepNext w:val="0"/>
        <w:keepLines w:val="0"/>
        <w:widowControl w:val="0"/>
        <w:numPr>
          <w:ilvl w:val="0"/>
          <w:numId w:val="15"/>
        </w:numPr>
        <w:shd w:val="clear" w:color="auto" w:fill="auto"/>
        <w:tabs>
          <w:tab w:pos="1057"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3"/>
        <w:keepNext w:val="0"/>
        <w:keepLines w:val="0"/>
        <w:widowControl w:val="0"/>
        <w:numPr>
          <w:ilvl w:val="0"/>
          <w:numId w:val="17"/>
        </w:numPr>
        <w:shd w:val="clear" w:color="auto" w:fill="auto"/>
        <w:tabs>
          <w:tab w:pos="104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сопровождение такого указания словами «или эквивалент»;</w:t>
      </w:r>
    </w:p>
    <w:p>
      <w:pPr>
        <w:pStyle w:val="Style13"/>
        <w:keepNext w:val="0"/>
        <w:keepLines w:val="0"/>
        <w:widowControl w:val="0"/>
        <w:numPr>
          <w:ilvl w:val="0"/>
          <w:numId w:val="17"/>
        </w:numPr>
        <w:shd w:val="clear" w:color="auto" w:fill="auto"/>
        <w:tabs>
          <w:tab w:pos="1057"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3"/>
        <w:keepNext w:val="0"/>
        <w:keepLines w:val="0"/>
        <w:widowControl w:val="0"/>
        <w:numPr>
          <w:ilvl w:val="0"/>
          <w:numId w:val="17"/>
        </w:numPr>
        <w:shd w:val="clear" w:color="auto" w:fill="auto"/>
        <w:tabs>
          <w:tab w:pos="1047"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3"/>
        <w:keepNext w:val="0"/>
        <w:keepLines w:val="0"/>
        <w:widowControl w:val="0"/>
        <w:numPr>
          <w:ilvl w:val="0"/>
          <w:numId w:val="17"/>
        </w:numPr>
        <w:shd w:val="clear" w:color="auto" w:fill="auto"/>
        <w:tabs>
          <w:tab w:pos="1033"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3"/>
        <w:keepNext w:val="0"/>
        <w:keepLines w:val="0"/>
        <w:widowControl w:val="0"/>
        <w:numPr>
          <w:ilvl w:val="0"/>
          <w:numId w:val="15"/>
        </w:numPr>
        <w:shd w:val="clear" w:color="auto" w:fill="auto"/>
        <w:tabs>
          <w:tab w:pos="106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w:t>
      </w:r>
      <w:r>
        <w:rPr>
          <w:color w:val="000000"/>
          <w:spacing w:val="0"/>
          <w:w w:val="100"/>
          <w:position w:val="0"/>
          <w:sz w:val="24"/>
          <w:szCs w:val="24"/>
          <w:shd w:val="clear" w:color="auto" w:fill="auto"/>
          <w:lang w:val="ru-RU" w:eastAsia="ru-RU" w:bidi="ru-RU"/>
        </w:rPr>
        <w:t>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силу ч. 2 ст. 33 Закона о закупках описание объекта закупки в соответствии с требованиями, указанными в ч. 1 ст. 33 Закона о закупках,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силу п. 3 ч. 2 ст. 42 Закона о закупках извещение об осуществлении закупки, если иное не предусмотрено Законом о закупках, должно содержать требования к содержанию, составу заявки на участие в закупке в соответствии с Законом о закупках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 5 ч. 1 ст. 43 Закона о закупках для участия в конкурентном способе заявка на участие в закупке, если иное не предусмотрено Законом о закупках, должна содержать информацию и документы, предусмотренные нормативными правовыми актами, принятыми в соответствии с ч. 3 и 4 ст. 14 Закона о закупках (в случае, если в извещении об осуществлении закупки, документации о закупке (если Законом о закупках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 1, 2 ч. 5 ст. 49 Закона о закупках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3"/>
        <w:keepNext w:val="0"/>
        <w:keepLines w:val="0"/>
        <w:widowControl w:val="0"/>
        <w:numPr>
          <w:ilvl w:val="0"/>
          <w:numId w:val="19"/>
        </w:numPr>
        <w:shd w:val="clear" w:color="auto" w:fill="auto"/>
        <w:tabs>
          <w:tab w:pos="1043"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члены комиссии по осуществлению закупок:</w:t>
      </w:r>
    </w:p>
    <w:p>
      <w:pPr>
        <w:pStyle w:val="Style13"/>
        <w:keepNext w:val="0"/>
        <w:keepLines w:val="0"/>
        <w:widowControl w:val="0"/>
        <w:numPr>
          <w:ilvl w:val="0"/>
          <w:numId w:val="21"/>
        </w:numPr>
        <w:shd w:val="clear" w:color="auto" w:fill="auto"/>
        <w:tabs>
          <w:tab w:pos="103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 4 ч. 4 ст. 49 Закона о закупках,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 1 - 8 ч. 12 ст. 48 Закона о закупках;</w:t>
      </w:r>
    </w:p>
    <w:p>
      <w:pPr>
        <w:pStyle w:val="Style13"/>
        <w:keepNext w:val="0"/>
        <w:keepLines w:val="0"/>
        <w:widowControl w:val="0"/>
        <w:numPr>
          <w:ilvl w:val="0"/>
          <w:numId w:val="21"/>
        </w:numPr>
        <w:shd w:val="clear" w:color="auto" w:fill="auto"/>
        <w:tabs>
          <w:tab w:pos="1057"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 основании информации, содержащейся в протоколе подачи ценовых предложений, а также результатов рассмотрения, предусмотренного подпунктом «а» п. 1 ч. 5 ст. 49 Закона о закупках,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 9 ч. 3 ст. 49 Закона о закупках,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 9 ч. 3 ст. 49 Закона о закупках,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 14 Закона о закупках. Заявке на участие в закупке победителя определения поставщика (подрядчика, исполнителя) присваивается первый номер;</w:t>
      </w:r>
    </w:p>
    <w:p>
      <w:pPr>
        <w:pStyle w:val="Style13"/>
        <w:keepNext w:val="0"/>
        <w:keepLines w:val="0"/>
        <w:widowControl w:val="0"/>
        <w:numPr>
          <w:ilvl w:val="0"/>
          <w:numId w:val="19"/>
        </w:numPr>
        <w:shd w:val="clear" w:color="auto" w:fill="auto"/>
        <w:tabs>
          <w:tab w:pos="1057"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п.1, 2, 4 - 7 ч. 17 ст. 48 Закона о закупках. После подписания членами комиссии по осуществлению закупок такого протокола усиленными электронными </w:t>
      </w:r>
      <w:r>
        <w:rPr>
          <w:color w:val="000000"/>
          <w:spacing w:val="0"/>
          <w:w w:val="100"/>
          <w:position w:val="0"/>
          <w:sz w:val="24"/>
          <w:szCs w:val="24"/>
          <w:shd w:val="clear" w:color="auto" w:fill="auto"/>
          <w:lang w:val="ru-RU" w:eastAsia="ru-RU" w:bidi="ru-RU"/>
        </w:rPr>
        <w:t>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 основании ч. 12 ст. 48 Закона о закупках при рассмотрении вторых частей заявок на участие в закупке соответствующая заявка подлежит отклонению в случаях:</w:t>
      </w:r>
    </w:p>
    <w:p>
      <w:pPr>
        <w:pStyle w:val="Style13"/>
        <w:keepNext w:val="0"/>
        <w:keepLines w:val="0"/>
        <w:widowControl w:val="0"/>
        <w:numPr>
          <w:ilvl w:val="0"/>
          <w:numId w:val="23"/>
        </w:numPr>
        <w:shd w:val="clear" w:color="auto" w:fill="auto"/>
        <w:tabs>
          <w:tab w:pos="1070"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непредставления (за исключением случаев, предусмотренных Законом о закупках)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закупках (за исключением информации и документов, предусмотренных п. 2 и 3 ч. 6 ст. 43 Закона о закупках), несоответствия таких информации и документов требованиям, установленным в извещении об осуществлении закупки;</w:t>
      </w:r>
    </w:p>
    <w:p>
      <w:pPr>
        <w:pStyle w:val="Style13"/>
        <w:keepNext w:val="0"/>
        <w:keepLines w:val="0"/>
        <w:widowControl w:val="0"/>
        <w:numPr>
          <w:ilvl w:val="0"/>
          <w:numId w:val="23"/>
        </w:numPr>
        <w:shd w:val="clear" w:color="auto" w:fill="auto"/>
        <w:tabs>
          <w:tab w:pos="1066"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непредставления информации и документов, предусмотренных п. 2 и 3 ч. 6 ст. 43 Закона о закупках, несоответствия таких информации и документов требованиям, установленным в извещении об осуществлении закупки;</w:t>
      </w:r>
    </w:p>
    <w:p>
      <w:pPr>
        <w:pStyle w:val="Style13"/>
        <w:keepNext w:val="0"/>
        <w:keepLines w:val="0"/>
        <w:widowControl w:val="0"/>
        <w:numPr>
          <w:ilvl w:val="0"/>
          <w:numId w:val="23"/>
        </w:numPr>
        <w:shd w:val="clear" w:color="auto" w:fill="auto"/>
        <w:tabs>
          <w:tab w:pos="1070"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 1 ст. 31 Закона о закупках, требованиям, установленным в извещении об осуществлении закупки в соответствии с ч. 1.1, 2 и 2.1 (при наличии таких требований) ст. 31 Закона о закупках;</w:t>
      </w:r>
    </w:p>
    <w:p>
      <w:pPr>
        <w:pStyle w:val="Style13"/>
        <w:keepNext w:val="0"/>
        <w:keepLines w:val="0"/>
        <w:widowControl w:val="0"/>
        <w:numPr>
          <w:ilvl w:val="0"/>
          <w:numId w:val="23"/>
        </w:numPr>
        <w:shd w:val="clear" w:color="auto" w:fill="auto"/>
        <w:tabs>
          <w:tab w:pos="1066"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предусмотренных нормативными правовыми актами, принятыми в соответствии со ст. 14 Закона о закупках (за исключением случаев непредставления информации и документов, предусмотренных п. 5 ч. 1 ст. 43 Закона о закупках);</w:t>
      </w:r>
    </w:p>
    <w:p>
      <w:pPr>
        <w:pStyle w:val="Style13"/>
        <w:keepNext w:val="0"/>
        <w:keepLines w:val="0"/>
        <w:widowControl w:val="0"/>
        <w:numPr>
          <w:ilvl w:val="0"/>
          <w:numId w:val="23"/>
        </w:numPr>
        <w:shd w:val="clear" w:color="auto" w:fill="auto"/>
        <w:tabs>
          <w:tab w:pos="1070"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непредставления информации и документов, предусмотренных п. 5 ч. 1 ст. 43 Закона о закупках, если такие документы предусмотрены нормативными правовыми актами, принятыми в соответствии с ч. 3 ст. 14 Закона о закупках (в случае установления в соответствии со ст. 14 Закона о закупках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3"/>
        <w:keepNext w:val="0"/>
        <w:keepLines w:val="0"/>
        <w:widowControl w:val="0"/>
        <w:numPr>
          <w:ilvl w:val="0"/>
          <w:numId w:val="23"/>
        </w:numPr>
        <w:shd w:val="clear" w:color="auto" w:fill="auto"/>
        <w:tabs>
          <w:tab w:pos="1066"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3"/>
        <w:keepNext w:val="0"/>
        <w:keepLines w:val="0"/>
        <w:widowControl w:val="0"/>
        <w:numPr>
          <w:ilvl w:val="0"/>
          <w:numId w:val="23"/>
        </w:numPr>
        <w:shd w:val="clear" w:color="auto" w:fill="auto"/>
        <w:tabs>
          <w:tab w:pos="1825"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предусмотренных ч. 6 ст. 45 Закона о закупках;</w:t>
      </w:r>
    </w:p>
    <w:p>
      <w:pPr>
        <w:pStyle w:val="Style13"/>
        <w:keepNext w:val="0"/>
        <w:keepLines w:val="0"/>
        <w:widowControl w:val="0"/>
        <w:numPr>
          <w:ilvl w:val="0"/>
          <w:numId w:val="23"/>
        </w:numPr>
        <w:shd w:val="clear" w:color="auto" w:fill="auto"/>
        <w:tabs>
          <w:tab w:pos="1825"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выявления недостоверной информации, содержащейся в заявке на участие в закупке.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извещению о проведении закупки № 0356200005124000567 объектом закупки является поставка изделий медицинского назначения (Контур дыхательный), соответствующих позиции КТРУ 32.50.13.190-00245.</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Также в соответствии с извещением о проведении закупки Заказчиком установлены ограничения допуска в соответствии с ПП РФ № 102 и условия допуска в соответствии с приказом № 126н.</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Так, согласно п. 2.1, 3.1 приложения к извещению «Требований к составу и содержанию заявки» заявка должна содержать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w:t>
      </w:r>
    </w:p>
    <w:p>
      <w:pPr>
        <w:pStyle w:val="Style13"/>
        <w:keepNext w:val="0"/>
        <w:keepLines w:val="0"/>
        <w:widowControl w:val="0"/>
        <w:numPr>
          <w:ilvl w:val="0"/>
          <w:numId w:val="25"/>
        </w:numPr>
        <w:shd w:val="clear" w:color="auto" w:fill="auto"/>
        <w:tabs>
          <w:tab w:pos="1051"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Копии действующих регистрационных удостоверений, выданных соответствующими уполномоченными Федеральными органами исполнительной власти, с приложениями.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Должна содержать информацию и документы, предусмотренные нормативными правовыми актами, принятыми в соответствии с ч. 3 и 4 ст. 14 Закона о закупках:</w:t>
      </w:r>
    </w:p>
    <w:p>
      <w:pPr>
        <w:pStyle w:val="Style13"/>
        <w:keepNext w:val="0"/>
        <w:keepLines w:val="0"/>
        <w:widowControl w:val="0"/>
        <w:numPr>
          <w:ilvl w:val="0"/>
          <w:numId w:val="25"/>
        </w:numPr>
        <w:shd w:val="clear" w:color="auto" w:fill="auto"/>
        <w:tabs>
          <w:tab w:pos="1051" w:val="left"/>
        </w:tabs>
        <w:bidi w:val="0"/>
        <w:spacing w:before="0" w:after="0" w:line="240" w:lineRule="auto"/>
        <w:ind w:left="0" w:right="0" w:firstLine="740"/>
        <w:jc w:val="both"/>
        <w:sectPr>
          <w:footerReference w:type="default" r:id="rId12"/>
          <w:footnotePr>
            <w:pos w:val="pageBottom"/>
            <w:numFmt w:val="decimal"/>
            <w:numRestart w:val="continuous"/>
          </w:footnotePr>
          <w:pgSz w:w="11900" w:h="16840"/>
          <w:pgMar w:top="1110" w:right="541" w:bottom="1112" w:left="1105" w:header="682" w:footer="3" w:gutter="0"/>
          <w:cols w:space="720"/>
          <w:noEndnote/>
          <w:rtlGutter w:val="0"/>
          <w:docGrid w:linePitch="360"/>
        </w:sectPr>
      </w:pPr>
      <w:r>
        <w:rPr>
          <w:color w:val="000000"/>
          <w:spacing w:val="0"/>
          <w:w w:val="100"/>
          <w:position w:val="0"/>
          <w:sz w:val="24"/>
          <w:szCs w:val="24"/>
          <w:shd w:val="clear" w:color="auto" w:fill="auto"/>
          <w:lang w:val="ru-RU" w:eastAsia="ru-RU" w:bidi="ru-RU"/>
        </w:rPr>
        <w:t>Подтверждением страны происхождения медицинских изделий, включенных в перечень ^ 1 и перечень ^ 2, является сертификат о происхождении товара, выдаваемый уполномоченным органом (организацией) государств - членов Евразийского экономического союза, по форме,</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(далее - Правила), и в соответствии с критериями определения страны происхождения товаров, предусмотренными Правилами. (в ред. Постановлений Правительства РФ от 16.05.2022 г. № 883, от 28.02.2023 г. № 318) Подтверждением процентной доли стоимости использованных материалов (сырья) иностранного происхождения в цене конечной продукции является выданный Торгово-промышленной палатой Российской Федерации акт экспертизы, содержащий информацию о доле стоимости иностранных материалов (сырья), используемых для производства одной единицы медицинского изделия, рассчитанной в соответствии с пп. «в» п. 2.4 Правил, или аналогичный документ, выданный уполномоченным органом (организацией) государства - члена Евразийского экономического союза. Сертификат по форме СТ-1 и документ, подтверждающий, что доля стоимости использованных материалов (сырья) иностранного происхождения в цене конечной продукции составляет не более 10 процентов для каждого наименования медицинского изделия.</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протоколу подведения итогов определения поставщика (подрядчика, исполнителя) от 20.01.2025 №ИЭА1 на участие в закупке поступило шесть заявок, признанные Аукционной комиссией соответствующими требованиям извещения. Заявке под идентификационным номером 99 присвоен первый порядковый номер.</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ходе анализа заявок участников закупки Комиссия установила, что в составе заявок представлена следующая информация и документы:</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заявка № 99) к поставке предложены контуры дыхательные аппарата искусственной вентиляции легких, одноразового использования, продекларирована страна происхождения товаров - Китайская Народная Республика, представлена копия регистрационного удостоверения № ФСЗ 2009/04992 от 22.03.2023 г.;</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заявка № 208) к поставке предложены контуры дыхательные аппарата искусственной вентиляции легких, одноразового использования, продекларирована страна происхождения товаров - Турецкая Республика, представлена копия регистрационного удостоверения № ФСЗ 2012/12924 от 05.02.2024 г.;</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заявка № 9) к поставке предложены контуры дыхательные аппарата искусственной вентиляции легких, одноразового использования, продекларирована страна происхождения товаров - Турецкая Республика, представлена копия регистрационного удостоверения № ФСЗ 2012/12924 от 05.02.2024 г.;</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заявка № 30) к поставке предложены контуры дыхательные аппарата искусственной вентиляции легких, одноразового использования, продекларирована страна происхождения товаров - Китайская Народная Республика, представлена копия регистрационного удостоверения № РЗН 2020/10881 от 12.10.2020 г.;</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заявка № 121) к поставке предложены контуры дыхательные аппарата искусственной вентиляции легких, одноразового использования, продекларирована страна происхождения товаров - Республика Беларусь, представлена копия регистрационного удостоверения № ФСЗ 2010/06637 от 30.05.2023 г., сертификата, подтверждающего соответствие собственного производства требованиям ГОСТ 180 13485-2017 «Межгосударственный стандарт. Изделия медицинские. Системы менеджмента качества. Требования для целей регулирования» № 24.1079.026 от 15.11.2024 г. (срок действия сертификата до 15.11.2027 г.), акта экспертизы происхождения товаров № 1/1947-1 от 10.06.2024 г. (срок действия до 10.06.2025 г.), сертификата о происхождении товара по форме СТ-1 № ВТВЦ4101202701;</w:t>
      </w:r>
    </w:p>
    <w:p>
      <w:pPr>
        <w:pStyle w:val="Style13"/>
        <w:keepNext w:val="0"/>
        <w:keepLines w:val="0"/>
        <w:widowControl w:val="0"/>
        <w:shd w:val="clear" w:color="auto" w:fill="auto"/>
        <w:bidi w:val="0"/>
        <w:spacing w:before="0" w:after="0" w:line="305" w:lineRule="auto"/>
        <w:ind w:left="0" w:right="0" w:firstLine="720"/>
        <w:jc w:val="both"/>
      </w:pPr>
      <w:r>
        <w:rPr>
          <w:color w:val="000000"/>
          <w:spacing w:val="0"/>
          <w:w w:val="100"/>
          <w:position w:val="0"/>
          <w:sz w:val="24"/>
          <w:szCs w:val="24"/>
          <w:shd w:val="clear" w:color="auto" w:fill="auto"/>
          <w:lang w:val="ru-RU" w:eastAsia="ru-RU" w:bidi="ru-RU"/>
        </w:rPr>
        <w:t>заявка № 62) к поставке предложены контуры дыхательные аппарата искусственной вентиляции легких, одноразового использования, продекларирована страна происхождения товаров - Российская Федерация, представлена копия регистрационного удостоверения № РЗН 2025-924</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2020/10066 от 01.11.2024 г., сертификата, подтверждающего соответствие собственного производства требованиям ГОСТ 180 13485-2017 «Межгосударственный стандарт. Изделия медицинские. Системы менеджмента качества. Требования для целей регулирования» № 01.Ки.01.32.1005 от 10.10.2023 г. (срок действия сертификата до 10.10.2026 г.), акта экспертизы происхождения товаров № 030-00-40022 от 01.03.2024 г. (срок действия до 31.12.2024 г.), сертификата о происхождении товара по форме СТ-1 № 4126000587.</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обращает внимание, что на основании п. 3 ПП РФ № 102 принято Положение о порядке выдачи сертификатов о происхождении товаров формы СТ-1 для целей осуществления закупок для обеспечения государственных и муниципальных нужд (для отдельных видов медицинских изделий), утвержденное приказом ТПП РФ от 10.04.2015 № 29 (далее - Положение).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абзацем 2 п. 3.2 раздела 3 Положения если иное не предусмотрено настоящим Положением, сертификат формы СТ-1 оформляется на основании первичного акта экспертизы, выполненного экспертами уполномоченной ТПП, которая расположена в месте нахождения непосредственного производителя товара - объекта закупок (его филиала, обособленного подразделения). Указанные первичные акты экспертизы оформляются на постоянную номенклатуру товаров сроком на один год (далее - Годовые акты экспертизы).</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Порядок заполнения Годовых актов экспертизы, а также порядок получения таких документов уполномоченными ТПП, которые на их основании непосредственно выдают сертификаты формы СТ-1, утверждаются ТПП России.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пунктом 3.2 раздела 3 Положения о порядке выдачи сертификатов о происхождении товара формы СТ-1 для целей осуществления закупок для обеспечения государственных и муниципальных нужд (для отдельных видов медицинских изделий), утвержденного приказом ТПП РФ № 29 от 10.04.2015 г. утвержден Порядок заполнения актов экспертизы по определению страны происхождения товаров и соответствия товаров требованиям ПП РФ № 102 (прилагается).</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 4.3 Порядка заполнения актов экспертизы Акт экспертизы заполняется следующим образом:</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пунктом 2. «Дата составления акта». Указывается дата составления Годового акта экспертизы;</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 3. «Срок действия акта»: указывается дата, до которой действует годовой акт экспертизы (с учетом, что акт составляется сроком на один год).</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протоколом подведения итогов определения поставщика (подрядчика, исполнителя) от 20.01.2025 №ИЭА1 заявка № 62 была подана 15.01.2025 г. в 15:30 ч.</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Следовательно, на момент подачи заявки № 62 акт экспертизы акта экспертизы происхождения товаров № 030-00-40022 от 01.03.2024 г. являлся недействительным, не подтверждает процентную долю стоимости использованных материалов (сырья) иностранного происхождения в цене конечной продукции. Поскольку требования п. 3 ПП РФ № 102 заявкой № 62 не соблюдены, Заявка № 62 в соответствии с требованиям п. 5 ч. 1 ст. 43 Закона о закупках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поскольку 5 заявок, из 6 поданных, содержат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положения п. 2 ПП РФ № 102 не применяются.</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действиях Аукционной комиссии, не применившей положения п. 2 ПП РФ № 102, нарушений положений Закона о закупках не имеется.</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основании статей 99, 106 Федерального закона «О контрактной системе в сфере закупок товаров, работ, услуг для обеспечения государственных и муниципальных нужд» Комиссия,</w:t>
      </w:r>
    </w:p>
    <w:p>
      <w:pPr>
        <w:pStyle w:val="Style15"/>
        <w:keepNext/>
        <w:keepLines/>
        <w:widowControl w:val="0"/>
        <w:shd w:val="clear" w:color="auto" w:fill="auto"/>
        <w:bidi w:val="0"/>
        <w:spacing w:before="0" w:after="0" w:line="240" w:lineRule="auto"/>
        <w:ind w:left="0" w:right="0" w:firstLine="0"/>
        <w:jc w:val="center"/>
      </w:pPr>
      <w:bookmarkStart w:id="18" w:name="bookmark18"/>
      <w:r>
        <w:rPr>
          <w:color w:val="000000"/>
          <w:spacing w:val="0"/>
          <w:w w:val="100"/>
          <w:position w:val="0"/>
          <w:sz w:val="24"/>
          <w:szCs w:val="24"/>
          <w:shd w:val="clear" w:color="auto" w:fill="auto"/>
          <w:lang w:val="ru-RU" w:eastAsia="ru-RU" w:bidi="ru-RU"/>
        </w:rPr>
        <w:t>РЕШИЛА:</w:t>
      </w:r>
      <w:bookmarkEnd w:id="18"/>
    </w:p>
    <w:p>
      <w:pPr>
        <w:pStyle w:val="Style13"/>
        <w:keepNext w:val="0"/>
        <w:keepLines w:val="0"/>
        <w:widowControl w:val="0"/>
        <w:shd w:val="clear" w:color="auto" w:fill="auto"/>
        <w:bidi w:val="0"/>
        <w:spacing w:before="0" w:after="0" w:line="336" w:lineRule="auto"/>
        <w:ind w:left="0" w:right="0" w:firstLine="720"/>
        <w:jc w:val="both"/>
        <w:sectPr>
          <w:footerReference w:type="default" r:id="rId13"/>
          <w:footnotePr>
            <w:pos w:val="pageBottom"/>
            <w:numFmt w:val="decimal"/>
            <w:numRestart w:val="continuous"/>
          </w:footnotePr>
          <w:pgSz w:w="11900" w:h="16840"/>
          <w:pgMar w:top="1110" w:right="542" w:bottom="526" w:left="1105" w:header="682" w:footer="98" w:gutter="0"/>
          <w:cols w:space="720"/>
          <w:noEndnote/>
          <w:rtlGutter w:val="0"/>
          <w:docGrid w:linePitch="360"/>
        </w:sectPr>
      </w:pPr>
      <w:r>
        <w:rPr>
          <w:color w:val="000000"/>
          <w:spacing w:val="0"/>
          <w:w w:val="100"/>
          <w:position w:val="0"/>
          <w:sz w:val="24"/>
          <w:szCs w:val="24"/>
          <w:shd w:val="clear" w:color="auto" w:fill="auto"/>
          <w:lang w:val="ru-RU" w:eastAsia="ru-RU" w:bidi="ru-RU"/>
        </w:rPr>
        <w:t>Признать жалобу ООО «Пермская Медицинская Компания» на действия комиссии ГКУ ПК «Центр организации закупок» при проведении электронного аукциона на поставку изделий 2025-924</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медицинского назначения (Контур дыхательный) (изв.№ 0356200005124000567) необоснованной.</w:t>
      </w:r>
    </w:p>
    <w:p>
      <w:pPr>
        <w:pStyle w:val="Style13"/>
        <w:keepNext w:val="0"/>
        <w:keepLines w:val="0"/>
        <w:widowControl w:val="0"/>
        <w:shd w:val="clear" w:color="auto" w:fill="auto"/>
        <w:bidi w:val="0"/>
        <w:spacing w:before="0" w:after="80" w:line="240" w:lineRule="auto"/>
        <w:ind w:left="0" w:right="0" w:firstLine="720"/>
        <w:jc w:val="both"/>
      </w:pPr>
      <w:r>
        <w:rPr>
          <w:i/>
          <w:iCs/>
          <w:color w:val="000000"/>
          <w:spacing w:val="0"/>
          <w:w w:val="100"/>
          <w:position w:val="0"/>
          <w:sz w:val="24"/>
          <w:szCs w:val="24"/>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tbl>
      <w:tblPr>
        <w:tblOverlap w:val="never"/>
        <w:jc w:val="center"/>
        <w:tblLayout w:type="fixed"/>
      </w:tblPr>
      <w:tblGrid>
        <w:gridCol w:w="3014"/>
        <w:gridCol w:w="3422"/>
        <w:gridCol w:w="72"/>
        <w:gridCol w:w="3653"/>
      </w:tblGrid>
      <w:tr>
        <w:trPr>
          <w:trHeight w:val="701" w:hRule="exact"/>
        </w:trPr>
        <w:tc>
          <w:tcPr>
            <w:vMerge w:val="restart"/>
            <w:tcBorders/>
            <w:shd w:val="clear" w:color="auto" w:fill="auto"/>
            <w:vAlign w:val="top"/>
          </w:tcPr>
          <w:p>
            <w:pPr>
              <w:pStyle w:val="Style26"/>
              <w:keepNext w:val="0"/>
              <w:keepLines w:val="0"/>
              <w:widowControl w:val="0"/>
              <w:shd w:val="clear" w:color="auto" w:fill="auto"/>
              <w:bidi w:val="0"/>
              <w:spacing w:before="0" w:after="1180" w:line="240" w:lineRule="auto"/>
              <w:ind w:left="0" w:right="0" w:firstLine="0"/>
              <w:jc w:val="left"/>
            </w:pPr>
            <w:r>
              <w:rPr>
                <w:b/>
                <w:bCs/>
                <w:color w:val="000000"/>
                <w:spacing w:val="0"/>
                <w:w w:val="100"/>
                <w:position w:val="0"/>
                <w:sz w:val="24"/>
                <w:szCs w:val="24"/>
                <w:shd w:val="clear" w:color="auto" w:fill="auto"/>
                <w:lang w:val="ru-RU" w:eastAsia="ru-RU" w:bidi="ru-RU"/>
              </w:rPr>
              <w:t>Председатель комиссии</w:t>
            </w:r>
          </w:p>
          <w:p>
            <w:pPr>
              <w:pStyle w:val="Style2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Члены комиссии:</w:t>
            </w:r>
          </w:p>
        </w:tc>
        <w:tc>
          <w:tcPr>
            <w:tcBorders>
              <w:top w:val="single" w:sz="4"/>
              <w:left w:val="single" w:sz="4"/>
            </w:tcBorders>
            <w:shd w:val="clear" w:color="auto" w:fill="auto"/>
            <w:vAlign w:val="center"/>
          </w:tcPr>
          <w:p>
            <w:pPr>
              <w:pStyle w:val="Style26"/>
              <w:keepNext w:val="0"/>
              <w:keepLines w:val="0"/>
              <w:widowControl w:val="0"/>
              <w:shd w:val="clear" w:color="auto" w:fill="auto"/>
              <w:bidi w:val="0"/>
              <w:spacing w:before="0" w:after="0" w:line="240" w:lineRule="auto"/>
              <w:ind w:left="680" w:right="0" w:firstLine="0"/>
              <w:jc w:val="left"/>
              <w:rPr>
                <w:sz w:val="11"/>
                <w:szCs w:val="11"/>
              </w:rPr>
            </w:pPr>
            <w:r>
              <w:rPr>
                <w:rFonts w:ascii="Georgia" w:eastAsia="Georgia" w:hAnsi="Georgia" w:cs="Georgia"/>
                <w:color w:val="1E1E1E"/>
                <w:spacing w:val="0"/>
                <w:w w:val="100"/>
                <w:position w:val="0"/>
                <w:sz w:val="11"/>
                <w:szCs w:val="11"/>
                <w:shd w:val="clear" w:color="auto" w:fill="auto"/>
                <w:lang w:val="ru-RU" w:eastAsia="ru-RU" w:bidi="ru-RU"/>
              </w:rPr>
              <w:t xml:space="preserve">Подлинник электронного документа, подписанного </w:t>
            </w:r>
            <w:r>
              <w:rPr>
                <w:rFonts w:ascii="Georgia" w:eastAsia="Georgia" w:hAnsi="Georgia" w:cs="Georgia"/>
                <w:color w:val="000000"/>
                <w:spacing w:val="0"/>
                <w:w w:val="100"/>
                <w:position w:val="0"/>
                <w:sz w:val="11"/>
                <w:szCs w:val="11"/>
                <w:shd w:val="clear" w:color="auto" w:fill="auto"/>
                <w:lang w:val="ru-RU" w:eastAsia="ru-RU" w:bidi="ru-RU"/>
              </w:rPr>
              <w:t xml:space="preserve">ЭП, </w:t>
            </w:r>
            <w:r>
              <w:rPr>
                <w:rFonts w:ascii="Georgia" w:eastAsia="Georgia" w:hAnsi="Georgia" w:cs="Georgia"/>
                <w:color w:val="1E1E1E"/>
                <w:spacing w:val="0"/>
                <w:w w:val="100"/>
                <w:position w:val="0"/>
                <w:sz w:val="11"/>
                <w:szCs w:val="11"/>
                <w:shd w:val="clear" w:color="auto" w:fill="auto"/>
                <w:lang w:val="ru-RU" w:eastAsia="ru-RU" w:bidi="ru-RU"/>
              </w:rPr>
              <w:t>хранится в системе электронного</w:t>
            </w:r>
          </w:p>
          <w:p>
            <w:pPr>
              <w:pStyle w:val="Style26"/>
              <w:keepNext w:val="0"/>
              <w:keepLines w:val="0"/>
              <w:widowControl w:val="0"/>
              <w:shd w:val="clear" w:color="auto" w:fill="auto"/>
              <w:tabs>
                <w:tab w:pos="669" w:val="left"/>
              </w:tabs>
              <w:bidi w:val="0"/>
              <w:spacing w:before="0" w:after="0" w:line="240" w:lineRule="auto"/>
              <w:ind w:left="0" w:right="0" w:firstLine="160"/>
              <w:jc w:val="left"/>
              <w:rPr>
                <w:sz w:val="11"/>
                <w:szCs w:val="11"/>
              </w:rPr>
            </w:pPr>
            <w:r>
              <w:rPr>
                <w:rFonts w:ascii="Georgia" w:eastAsia="Georgia" w:hAnsi="Georgia" w:cs="Georgia"/>
                <w:color w:val="1E1E1E"/>
                <w:spacing w:val="0"/>
                <w:w w:val="100"/>
                <w:position w:val="0"/>
                <w:sz w:val="11"/>
                <w:szCs w:val="11"/>
                <w:shd w:val="clear" w:color="auto" w:fill="auto"/>
                <w:lang w:val="ru-RU" w:eastAsia="ru-RU" w:bidi="ru-RU"/>
              </w:rPr>
              <w:t>ЗмК</w:t>
              <w:tab/>
              <w:t xml:space="preserve">документооборота </w:t>
            </w:r>
            <w:r>
              <w:rPr>
                <w:rFonts w:ascii="Georgia" w:eastAsia="Georgia" w:hAnsi="Georgia" w:cs="Georgia"/>
                <w:color w:val="000000"/>
                <w:spacing w:val="0"/>
                <w:w w:val="100"/>
                <w:position w:val="0"/>
                <w:sz w:val="11"/>
                <w:szCs w:val="11"/>
                <w:shd w:val="clear" w:color="auto" w:fill="auto"/>
                <w:lang w:val="ru-RU" w:eastAsia="ru-RU" w:bidi="ru-RU"/>
              </w:rPr>
              <w:t xml:space="preserve">ФАС </w:t>
            </w:r>
            <w:r>
              <w:rPr>
                <w:rFonts w:ascii="Georgia" w:eastAsia="Georgia" w:hAnsi="Georgia" w:cs="Georgia"/>
                <w:color w:val="1E1E1E"/>
                <w:spacing w:val="0"/>
                <w:w w:val="100"/>
                <w:position w:val="0"/>
                <w:sz w:val="11"/>
                <w:szCs w:val="11"/>
                <w:shd w:val="clear" w:color="auto" w:fill="auto"/>
                <w:lang w:val="ru-RU" w:eastAsia="ru-RU" w:bidi="ru-RU"/>
              </w:rPr>
              <w:t>России</w:t>
            </w:r>
          </w:p>
        </w:tc>
        <w:tc>
          <w:tcPr>
            <w:gridSpan w:val="2"/>
            <w:tcBorders>
              <w:lef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z w:val="24"/>
                <w:szCs w:val="24"/>
                <w:shd w:val="clear" w:color="auto" w:fill="auto"/>
                <w:lang w:val="ru-RU" w:eastAsia="ru-RU" w:bidi="ru-RU"/>
              </w:rPr>
              <w:t>Е.С. Субботина</w:t>
            </w:r>
          </w:p>
        </w:tc>
      </w:tr>
      <w:tr>
        <w:trPr>
          <w:trHeight w:val="130" w:hRule="exact"/>
        </w:trPr>
        <w:tc>
          <w:tcPr>
            <w:vMerge/>
            <w:tcBorders/>
            <w:shd w:val="clear" w:color="auto" w:fill="auto"/>
            <w:vAlign w:val="top"/>
          </w:tcPr>
          <w:p>
            <w:pPr/>
          </w:p>
        </w:tc>
        <w:tc>
          <w:tcPr>
            <w:tcBorders>
              <w:left w:val="single" w:sz="4"/>
            </w:tcBorders>
            <w:shd w:val="clear" w:color="auto" w:fill="000000"/>
            <w:vAlign w:val="top"/>
          </w:tcPr>
          <w:p>
            <w:pPr>
              <w:pStyle w:val="Style2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tabs>
                <w:tab w:pos="749" w:val="left"/>
              </w:tabs>
              <w:bidi w:val="0"/>
              <w:spacing w:before="0" w:after="0" w:line="240" w:lineRule="auto"/>
              <w:ind w:left="0" w:right="0" w:firstLine="0"/>
              <w:jc w:val="left"/>
              <w:rPr>
                <w:sz w:val="11"/>
                <w:szCs w:val="11"/>
              </w:rPr>
            </w:pPr>
            <w:r>
              <w:rPr>
                <w:rFonts w:ascii="Arial" w:eastAsia="Arial" w:hAnsi="Arial" w:cs="Arial"/>
                <w:color w:val="FFFFFF"/>
                <w:spacing w:val="0"/>
                <w:w w:val="100"/>
                <w:position w:val="0"/>
                <w:sz w:val="14"/>
                <w:szCs w:val="14"/>
                <w:shd w:val="clear" w:color="auto" w:fill="auto"/>
                <w:lang w:val="ru-RU" w:eastAsia="ru-RU" w:bidi="ru-RU"/>
              </w:rPr>
              <w:t>1</w:t>
              <w:tab/>
            </w:r>
            <w:r>
              <w:rPr>
                <w:rFonts w:ascii="Arial" w:eastAsia="Arial" w:hAnsi="Arial" w:cs="Arial"/>
                <w:color w:val="E9E9E9"/>
                <w:spacing w:val="0"/>
                <w:w w:val="100"/>
                <w:position w:val="0"/>
                <w:sz w:val="11"/>
                <w:szCs w:val="11"/>
                <w:shd w:val="clear" w:color="auto" w:fill="auto"/>
                <w:lang w:val="ru-RU" w:eastAsia="ru-RU" w:bidi="ru-RU"/>
              </w:rPr>
              <w:t>СВЕДЕНИЯ О СЕРТИФИКАТЕ ЭП</w:t>
            </w:r>
          </w:p>
        </w:tc>
        <w:tc>
          <w:tcPr>
            <w:gridSpan w:val="2"/>
            <w:tcBorders>
              <w:left w:val="single" w:sz="4"/>
            </w:tcBorders>
            <w:shd w:val="clear" w:color="auto" w:fill="auto"/>
            <w:vAlign w:val="top"/>
          </w:tcPr>
          <w:p>
            <w:pPr>
              <w:widowControl w:val="0"/>
              <w:rPr>
                <w:sz w:val="10"/>
                <w:szCs w:val="10"/>
              </w:rPr>
            </w:pPr>
          </w:p>
        </w:tc>
      </w:tr>
      <w:tr>
        <w:trPr>
          <w:trHeight w:val="1080" w:hRule="exact"/>
        </w:trPr>
        <w:tc>
          <w:tcPr>
            <w:vMerge/>
            <w:tcBorders/>
            <w:shd w:val="clear" w:color="auto" w:fill="auto"/>
            <w:vAlign w:val="top"/>
          </w:tcPr>
          <w:p>
            <w:pPr/>
          </w:p>
        </w:tc>
        <w:tc>
          <w:tcPr>
            <w:tcBorders>
              <w:left w:val="single" w:sz="4"/>
            </w:tcBorders>
            <w:shd w:val="clear" w:color="auto" w:fill="auto"/>
            <w:vAlign w:val="top"/>
          </w:tcPr>
          <w:p>
            <w:pPr>
              <w:pStyle w:val="Style26"/>
              <w:keepNext w:val="0"/>
              <w:keepLines w:val="0"/>
              <w:widowControl w:val="0"/>
              <w:shd w:val="clear" w:color="auto" w:fill="auto"/>
              <w:bidi w:val="0"/>
              <w:spacing w:before="80" w:after="0" w:line="240" w:lineRule="auto"/>
              <w:ind w:left="0" w:right="0" w:firstLine="0"/>
              <w:jc w:val="left"/>
              <w:rPr>
                <w:sz w:val="11"/>
                <w:szCs w:val="11"/>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656565"/>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Субботина Екатерина Сергеевна</w:t>
            </w:r>
          </w:p>
          <w:p>
            <w:pPr>
              <w:pStyle w:val="Style2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3F3F3F"/>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3F3F3F"/>
                <w:spacing w:val="0"/>
                <w:w w:val="100"/>
                <w:position w:val="0"/>
                <w:sz w:val="12"/>
                <w:szCs w:val="12"/>
                <w:shd w:val="clear" w:color="auto" w:fill="auto"/>
                <w:lang w:val="ru-RU" w:eastAsia="ru-RU" w:bidi="ru-RU"/>
              </w:rPr>
              <w:t>О0СОС822В29790В5ВЗЕ4ВЕА073ЕВ878651</w:t>
            </w:r>
          </w:p>
          <w:p>
            <w:pPr>
              <w:pStyle w:val="Style2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656565"/>
                <w:spacing w:val="0"/>
                <w:w w:val="100"/>
                <w:position w:val="0"/>
                <w:sz w:val="12"/>
                <w:szCs w:val="12"/>
                <w:shd w:val="clear" w:color="auto" w:fill="auto"/>
                <w:lang w:val="ru-RU" w:eastAsia="ru-RU" w:bidi="ru-RU"/>
              </w:rPr>
              <w:t xml:space="preserve">Действителен </w:t>
            </w:r>
            <w:r>
              <w:rPr>
                <w:rFonts w:ascii="Arial" w:eastAsia="Arial" w:hAnsi="Arial" w:cs="Arial"/>
                <w:color w:val="3F3F3F"/>
                <w:spacing w:val="0"/>
                <w:w w:val="100"/>
                <w:position w:val="0"/>
                <w:sz w:val="12"/>
                <w:szCs w:val="12"/>
                <w:shd w:val="clear" w:color="auto" w:fill="auto"/>
                <w:lang w:val="ru-RU" w:eastAsia="ru-RU" w:bidi="ru-RU"/>
              </w:rPr>
              <w:t xml:space="preserve">с 19.02.2024 </w:t>
            </w:r>
            <w:r>
              <w:rPr>
                <w:rFonts w:ascii="Arial" w:eastAsia="Arial" w:hAnsi="Arial" w:cs="Arial"/>
                <w:color w:val="878787"/>
                <w:spacing w:val="0"/>
                <w:w w:val="100"/>
                <w:position w:val="0"/>
                <w:sz w:val="12"/>
                <w:szCs w:val="12"/>
                <w:shd w:val="clear" w:color="auto" w:fill="auto"/>
                <w:lang w:val="ru-RU" w:eastAsia="ru-RU" w:bidi="ru-RU"/>
              </w:rPr>
              <w:t xml:space="preserve">по </w:t>
            </w:r>
            <w:r>
              <w:rPr>
                <w:rFonts w:ascii="Arial" w:eastAsia="Arial" w:hAnsi="Arial" w:cs="Arial"/>
                <w:color w:val="656565"/>
                <w:spacing w:val="0"/>
                <w:w w:val="100"/>
                <w:position w:val="0"/>
                <w:sz w:val="12"/>
                <w:szCs w:val="12"/>
                <w:shd w:val="clear" w:color="auto" w:fill="auto"/>
                <w:lang w:val="ru-RU" w:eastAsia="ru-RU" w:bidi="ru-RU"/>
              </w:rPr>
              <w:t>14.05.2025</w:t>
            </w:r>
          </w:p>
        </w:tc>
        <w:tc>
          <w:tcPr>
            <w:tcBorders>
              <w:left w:val="single" w:sz="4"/>
            </w:tcBorders>
            <w:shd w:val="clear" w:color="auto" w:fill="auto"/>
            <w:vAlign w:val="top"/>
          </w:tcPr>
          <w:p>
            <w:pPr>
              <w:widowControl w:val="0"/>
              <w:rPr>
                <w:sz w:val="10"/>
                <w:szCs w:val="10"/>
              </w:rPr>
            </w:pPr>
          </w:p>
        </w:tc>
        <w:tc>
          <w:tcPr>
            <w:vMerge w:val="restart"/>
            <w:tcBorders>
              <w:lef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z w:val="24"/>
                <w:szCs w:val="24"/>
                <w:shd w:val="clear" w:color="auto" w:fill="auto"/>
                <w:lang w:val="ru-RU" w:eastAsia="ru-RU" w:bidi="ru-RU"/>
              </w:rPr>
              <w:t>М.А. Журавлев</w:t>
            </w:r>
          </w:p>
        </w:tc>
      </w:tr>
      <w:tr>
        <w:trPr>
          <w:trHeight w:val="658" w:hRule="exact"/>
        </w:trPr>
        <w:tc>
          <w:tcPr>
            <w:vMerge w:val="restart"/>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6"/>
              <w:keepNext w:val="0"/>
              <w:keepLines w:val="0"/>
              <w:widowControl w:val="0"/>
              <w:shd w:val="clear" w:color="auto" w:fill="auto"/>
              <w:tabs>
                <w:tab w:pos="614" w:val="left"/>
              </w:tabs>
              <w:bidi w:val="0"/>
              <w:spacing w:before="0" w:after="0" w:line="240" w:lineRule="auto"/>
              <w:ind w:left="0" w:right="0" w:firstLine="0"/>
              <w:jc w:val="left"/>
              <w:rPr>
                <w:sz w:val="11"/>
                <w:szCs w:val="11"/>
              </w:rPr>
            </w:pPr>
            <w:r>
              <w:rPr>
                <w:rFonts w:ascii="Georgia" w:eastAsia="Georgia" w:hAnsi="Georgia" w:cs="Georgia"/>
                <w:color w:val="000000"/>
                <w:spacing w:val="0"/>
                <w:w w:val="100"/>
                <w:position w:val="0"/>
                <w:sz w:val="11"/>
                <w:szCs w:val="11"/>
                <w:u w:val="single"/>
                <w:shd w:val="clear" w:color="auto" w:fill="auto"/>
                <w:lang w:val="ru-RU" w:eastAsia="ru-RU" w:bidi="ru-RU"/>
              </w:rPr>
              <w:t>ЖтуГа</w:t>
            </w:r>
            <w:r>
              <w:rPr>
                <w:rFonts w:ascii="Georgia" w:eastAsia="Georgia" w:hAnsi="Georgia" w:cs="Georgia"/>
                <w:color w:val="000000"/>
                <w:spacing w:val="0"/>
                <w:w w:val="100"/>
                <w:position w:val="0"/>
                <w:sz w:val="11"/>
                <w:szCs w:val="11"/>
                <w:shd w:val="clear" w:color="auto" w:fill="auto"/>
                <w:lang w:val="ru-RU" w:eastAsia="ru-RU" w:bidi="ru-RU"/>
              </w:rPr>
              <w:t>й</w:t>
              <w:tab/>
            </w:r>
            <w:r>
              <w:rPr>
                <w:rFonts w:ascii="Georgia" w:eastAsia="Georgia" w:hAnsi="Georgia" w:cs="Georgia"/>
                <w:color w:val="1E1E1E"/>
                <w:spacing w:val="0"/>
                <w:w w:val="100"/>
                <w:position w:val="0"/>
                <w:sz w:val="11"/>
                <w:szCs w:val="11"/>
                <w:shd w:val="clear" w:color="auto" w:fill="auto"/>
                <w:lang w:val="ru-RU" w:eastAsia="ru-RU" w:bidi="ru-RU"/>
              </w:rPr>
              <w:t>Подлинник электронного документа, подписанного</w:t>
            </w:r>
          </w:p>
          <w:p>
            <w:pPr>
              <w:pStyle w:val="Style26"/>
              <w:keepNext w:val="0"/>
              <w:keepLines w:val="0"/>
              <w:widowControl w:val="0"/>
              <w:shd w:val="clear" w:color="auto" w:fill="auto"/>
              <w:bidi w:val="0"/>
              <w:spacing w:before="0" w:after="0" w:line="240" w:lineRule="auto"/>
              <w:ind w:left="0" w:right="0" w:firstLine="680"/>
              <w:jc w:val="left"/>
              <w:rPr>
                <w:sz w:val="11"/>
                <w:szCs w:val="11"/>
              </w:rPr>
            </w:pPr>
            <w:r>
              <w:rPr>
                <w:rFonts w:ascii="Georgia" w:eastAsia="Georgia" w:hAnsi="Georgia" w:cs="Georgia"/>
                <w:color w:val="000000"/>
                <w:spacing w:val="0"/>
                <w:w w:val="100"/>
                <w:position w:val="0"/>
                <w:sz w:val="11"/>
                <w:szCs w:val="11"/>
                <w:shd w:val="clear" w:color="auto" w:fill="auto"/>
                <w:lang w:val="ru-RU" w:eastAsia="ru-RU" w:bidi="ru-RU"/>
              </w:rPr>
              <w:t xml:space="preserve">ЭП, </w:t>
            </w:r>
            <w:r>
              <w:rPr>
                <w:rFonts w:ascii="Georgia" w:eastAsia="Georgia" w:hAnsi="Georgia" w:cs="Georgia"/>
                <w:color w:val="1E1E1E"/>
                <w:spacing w:val="0"/>
                <w:w w:val="100"/>
                <w:position w:val="0"/>
                <w:sz w:val="11"/>
                <w:szCs w:val="11"/>
                <w:shd w:val="clear" w:color="auto" w:fill="auto"/>
                <w:lang w:val="ru-RU" w:eastAsia="ru-RU" w:bidi="ru-RU"/>
              </w:rPr>
              <w:t>хранится в системе электронного</w:t>
            </w:r>
          </w:p>
          <w:p>
            <w:pPr>
              <w:pStyle w:val="Style26"/>
              <w:keepNext w:val="0"/>
              <w:keepLines w:val="0"/>
              <w:widowControl w:val="0"/>
              <w:shd w:val="clear" w:color="auto" w:fill="auto"/>
              <w:tabs>
                <w:tab w:pos="674" w:val="left"/>
              </w:tabs>
              <w:bidi w:val="0"/>
              <w:spacing w:before="0" w:after="0" w:line="240" w:lineRule="auto"/>
              <w:ind w:left="0" w:right="0" w:firstLine="160"/>
              <w:jc w:val="left"/>
              <w:rPr>
                <w:sz w:val="11"/>
                <w:szCs w:val="11"/>
              </w:rPr>
            </w:pPr>
            <w:r>
              <w:rPr>
                <w:rFonts w:ascii="Georgia" w:eastAsia="Georgia" w:hAnsi="Georgia" w:cs="Georgia"/>
                <w:color w:val="1E1E1E"/>
                <w:spacing w:val="0"/>
                <w:w w:val="100"/>
                <w:position w:val="0"/>
                <w:sz w:val="11"/>
                <w:szCs w:val="11"/>
                <w:shd w:val="clear" w:color="auto" w:fill="auto"/>
                <w:lang w:val="ru-RU" w:eastAsia="ru-RU" w:bidi="ru-RU"/>
              </w:rPr>
              <w:t>ЗмГ</w:t>
              <w:tab/>
              <w:t>документооборота ФАС России</w:t>
            </w:r>
          </w:p>
        </w:tc>
        <w:tc>
          <w:tcPr>
            <w:tcBorders>
              <w:top w:val="single" w:sz="4"/>
              <w:left w:val="single" w:sz="4"/>
            </w:tcBorders>
            <w:shd w:val="clear" w:color="auto" w:fill="auto"/>
            <w:vAlign w:val="top"/>
          </w:tcPr>
          <w:p>
            <w:pPr>
              <w:widowControl w:val="0"/>
              <w:rPr>
                <w:sz w:val="10"/>
                <w:szCs w:val="10"/>
              </w:rPr>
            </w:pPr>
          </w:p>
        </w:tc>
        <w:tc>
          <w:tcPr>
            <w:vMerge/>
            <w:tcBorders>
              <w:left w:val="single" w:sz="4"/>
            </w:tcBorders>
            <w:shd w:val="clear" w:color="auto" w:fill="auto"/>
            <w:vAlign w:val="center"/>
          </w:tcPr>
          <w:p>
            <w:pPr/>
          </w:p>
        </w:tc>
      </w:tr>
      <w:tr>
        <w:trPr>
          <w:trHeight w:val="149" w:hRule="exact"/>
        </w:trPr>
        <w:tc>
          <w:tcPr>
            <w:vMerge/>
            <w:tcBorders/>
            <w:shd w:val="clear" w:color="auto" w:fill="auto"/>
            <w:vAlign w:val="top"/>
          </w:tcPr>
          <w:p>
            <w:pPr/>
          </w:p>
        </w:tc>
        <w:tc>
          <w:tcPr>
            <w:tcBorders>
              <w:left w:val="single" w:sz="4"/>
            </w:tcBorders>
            <w:shd w:val="clear" w:color="auto" w:fill="000000"/>
            <w:vAlign w:val="top"/>
          </w:tcPr>
          <w:p>
            <w:pPr>
              <w:pStyle w:val="Style2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tabs>
                <w:tab w:pos="749" w:val="left"/>
              </w:tabs>
              <w:bidi w:val="0"/>
              <w:spacing w:before="0" w:after="0" w:line="240" w:lineRule="auto"/>
              <w:ind w:left="0" w:right="0" w:firstLine="0"/>
              <w:jc w:val="left"/>
              <w:rPr>
                <w:sz w:val="11"/>
                <w:szCs w:val="11"/>
              </w:rPr>
            </w:pPr>
            <w:r>
              <w:rPr>
                <w:rFonts w:ascii="Arial" w:eastAsia="Arial" w:hAnsi="Arial" w:cs="Arial"/>
                <w:color w:val="FFFFFF"/>
                <w:spacing w:val="0"/>
                <w:w w:val="100"/>
                <w:position w:val="0"/>
                <w:sz w:val="14"/>
                <w:szCs w:val="14"/>
                <w:shd w:val="clear" w:color="auto" w:fill="auto"/>
                <w:lang w:val="ru-RU" w:eastAsia="ru-RU" w:bidi="ru-RU"/>
              </w:rPr>
              <w:t>1</w:t>
              <w:tab/>
            </w:r>
            <w:r>
              <w:rPr>
                <w:rFonts w:ascii="Arial" w:eastAsia="Arial" w:hAnsi="Arial" w:cs="Arial"/>
                <w:color w:val="E9E9E9"/>
                <w:spacing w:val="0"/>
                <w:w w:val="100"/>
                <w:position w:val="0"/>
                <w:sz w:val="11"/>
                <w:szCs w:val="11"/>
                <w:shd w:val="clear" w:color="auto" w:fill="auto"/>
                <w:lang w:val="ru-RU" w:eastAsia="ru-RU" w:bidi="ru-RU"/>
              </w:rPr>
              <w:t>СВЕДЕНИЯ О СЕРТИФИКАТЕ ЭП</w:t>
            </w:r>
          </w:p>
        </w:tc>
        <w:tc>
          <w:tcPr>
            <w:tcBorders>
              <w:left w:val="single" w:sz="4"/>
            </w:tcBorders>
            <w:shd w:val="clear" w:color="auto" w:fill="auto"/>
            <w:vAlign w:val="top"/>
          </w:tcPr>
          <w:p>
            <w:pPr>
              <w:widowControl w:val="0"/>
              <w:rPr>
                <w:sz w:val="10"/>
                <w:szCs w:val="10"/>
              </w:rPr>
            </w:pPr>
          </w:p>
        </w:tc>
        <w:tc>
          <w:tcPr>
            <w:vMerge/>
            <w:tcBorders>
              <w:left w:val="single" w:sz="4"/>
            </w:tcBorders>
            <w:shd w:val="clear" w:color="auto" w:fill="auto"/>
            <w:vAlign w:val="center"/>
          </w:tcPr>
          <w:p>
            <w:pPr/>
          </w:p>
        </w:tc>
      </w:tr>
      <w:tr>
        <w:trPr>
          <w:trHeight w:val="638" w:hRule="exact"/>
        </w:trPr>
        <w:tc>
          <w:tcPr>
            <w:vMerge/>
            <w:tcBorders/>
            <w:shd w:val="clear" w:color="auto" w:fill="auto"/>
            <w:vAlign w:val="top"/>
          </w:tcPr>
          <w:p>
            <w:pPr/>
          </w:p>
        </w:tc>
        <w:tc>
          <w:tcPr>
            <w:tcBorders>
              <w:left w:val="single" w:sz="4"/>
              <w:bottom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3F3F3F"/>
                <w:spacing w:val="0"/>
                <w:w w:val="100"/>
                <w:position w:val="0"/>
                <w:sz w:val="12"/>
                <w:szCs w:val="12"/>
                <w:shd w:val="clear" w:color="auto" w:fill="auto"/>
                <w:lang w:val="ru-RU" w:eastAsia="ru-RU" w:bidi="ru-RU"/>
              </w:rPr>
              <w:t xml:space="preserve">Кому </w:t>
            </w:r>
            <w:r>
              <w:rPr>
                <w:rFonts w:ascii="Arial" w:eastAsia="Arial" w:hAnsi="Arial" w:cs="Arial"/>
                <w:color w:val="656565"/>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Журавлев Михаил Алексеевич</w:t>
            </w:r>
          </w:p>
          <w:p>
            <w:pPr>
              <w:pStyle w:val="Style2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3F3F3F"/>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3F3F3F"/>
                <w:spacing w:val="0"/>
                <w:w w:val="100"/>
                <w:position w:val="0"/>
                <w:sz w:val="12"/>
                <w:szCs w:val="12"/>
                <w:shd w:val="clear" w:color="auto" w:fill="auto"/>
                <w:lang w:val="ru-RU" w:eastAsia="ru-RU" w:bidi="ru-RU"/>
              </w:rPr>
              <w:t>08В5Е871В9ЕЕЮ2887ЕЕ4ВА36ОС17А75</w:t>
            </w:r>
          </w:p>
          <w:p>
            <w:pPr>
              <w:pStyle w:val="Style2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656565"/>
                <w:spacing w:val="0"/>
                <w:w w:val="100"/>
                <w:position w:val="0"/>
                <w:sz w:val="12"/>
                <w:szCs w:val="12"/>
                <w:shd w:val="clear" w:color="auto" w:fill="auto"/>
                <w:lang w:val="ru-RU" w:eastAsia="ru-RU" w:bidi="ru-RU"/>
              </w:rPr>
              <w:t>Действителен с 31.07.2024 по 24.10.2025</w:t>
            </w:r>
          </w:p>
        </w:tc>
        <w:tc>
          <w:tcPr>
            <w:tcBorders>
              <w:left w:val="single" w:sz="4"/>
              <w:bottom w:val="single" w:sz="4"/>
            </w:tcBorders>
            <w:shd w:val="clear" w:color="auto" w:fill="auto"/>
            <w:vAlign w:val="top"/>
          </w:tcPr>
          <w:p>
            <w:pPr>
              <w:widowControl w:val="0"/>
              <w:rPr>
                <w:sz w:val="10"/>
                <w:szCs w:val="10"/>
              </w:rPr>
            </w:pPr>
          </w:p>
        </w:tc>
        <w:tc>
          <w:tcPr>
            <w:vMerge/>
            <w:tcBorders>
              <w:left w:val="single" w:sz="4"/>
            </w:tcBorders>
            <w:shd w:val="clear" w:color="auto" w:fill="auto"/>
            <w:vAlign w:val="center"/>
          </w:tcPr>
          <w:p>
            <w:pPr/>
          </w:p>
        </w:tc>
      </w:tr>
    </w:tbl>
    <w:p>
      <w:pPr>
        <w:widowControl w:val="0"/>
        <w:spacing w:after="219" w:line="1" w:lineRule="exact"/>
      </w:pPr>
    </w:p>
    <w:p>
      <w:pPr>
        <w:pStyle w:val="Style15"/>
        <w:keepNext/>
        <w:keepLines/>
        <w:widowControl w:val="0"/>
        <w:shd w:val="clear" w:color="auto" w:fill="auto"/>
        <w:bidi w:val="0"/>
        <w:spacing w:before="0" w:after="680" w:line="240" w:lineRule="auto"/>
        <w:ind w:left="0" w:right="0" w:firstLine="0"/>
        <w:jc w:val="right"/>
      </w:pPr>
      <w:r>
        <w:drawing>
          <wp:anchor distT="0" distB="0" distL="114300" distR="1900555" simplePos="0" relativeHeight="125829378" behindDoc="0" locked="0" layoutInCell="1" allowOverlap="1">
            <wp:simplePos x="0" y="0"/>
            <wp:positionH relativeFrom="page">
              <wp:posOffset>2659380</wp:posOffset>
            </wp:positionH>
            <wp:positionV relativeFrom="paragraph">
              <wp:posOffset>63500</wp:posOffset>
            </wp:positionV>
            <wp:extent cx="353695" cy="536575"/>
            <wp:wrapSquare wrapText="right"/>
            <wp:docPr id="10" name="Shape 10"/>
            <a:graphic xmlns:a="http://schemas.openxmlformats.org/drawingml/2006/main">
              <a:graphicData uri="http://schemas.openxmlformats.org/drawingml/2006/picture">
                <pic:pic xmlns:pic="http://schemas.openxmlformats.org/drawingml/2006/picture">
                  <pic:nvPicPr>
                    <pic:cNvPr id="11" name="Picture box 11"/>
                    <pic:cNvPicPr/>
                  </pic:nvPicPr>
                  <pic:blipFill>
                    <a:blip r:embed="rId14"/>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3116580</wp:posOffset>
                </wp:positionH>
                <wp:positionV relativeFrom="paragraph">
                  <wp:posOffset>466090</wp:posOffset>
                </wp:positionV>
                <wp:extent cx="1280160" cy="100330"/>
                <wp:wrapNone/>
                <wp:docPr id="12" name="Shape 12"/>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E9E9E9"/>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8" type="#_x0000_t202" style="position:absolute;margin-left:245.40000000000001pt;margin-top:36.700000000000003pt;width:100.8pt;height:7.9000000000000004pt;z-index:251657729;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E9E9E9"/>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3074035</wp:posOffset>
                </wp:positionH>
                <wp:positionV relativeFrom="paragraph">
                  <wp:posOffset>151765</wp:posOffset>
                </wp:positionV>
                <wp:extent cx="1722120" cy="255905"/>
                <wp:wrapNone/>
                <wp:docPr id="14" name="Shape 14"/>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0" type="#_x0000_t202" style="position:absolute;margin-left:242.05000000000001pt;margin-top:11.950000000000001pt;width:135.59999999999999pt;height:20.150000000000002pt;z-index:251657731;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bookmarkStart w:id="20" w:name="bookmark20"/>
      <w:r>
        <w:rPr>
          <w:color w:val="000000"/>
          <w:spacing w:val="0"/>
          <w:w w:val="100"/>
          <w:position w:val="0"/>
          <w:sz w:val="24"/>
          <w:szCs w:val="24"/>
          <w:shd w:val="clear" w:color="auto" w:fill="auto"/>
          <w:lang w:val="ru-RU" w:eastAsia="ru-RU" w:bidi="ru-RU"/>
        </w:rPr>
        <w:t>А.М. Чудинов</w:t>
      </w:r>
      <w:bookmarkEnd w:id="20"/>
    </w:p>
    <w:p>
      <w:pPr>
        <w:pStyle w:val="Style39"/>
        <w:keepNext w:val="0"/>
        <w:keepLines w:val="0"/>
        <w:widowControl w:val="0"/>
        <w:shd w:val="clear" w:color="auto" w:fill="auto"/>
        <w:bidi w:val="0"/>
        <w:spacing w:before="0" w:after="0" w:line="240" w:lineRule="auto"/>
        <w:ind w:right="0" w:firstLine="0"/>
        <w:jc w:val="both"/>
        <w:rPr>
          <w:sz w:val="11"/>
          <w:szCs w:val="11"/>
        </w:rPr>
      </w:pPr>
      <w:r>
        <w:rPr>
          <w:color w:val="000000"/>
          <w:spacing w:val="0"/>
          <w:w w:val="100"/>
          <w:position w:val="0"/>
          <w:sz w:val="12"/>
          <w:szCs w:val="12"/>
          <w:shd w:val="clear" w:color="auto" w:fill="auto"/>
          <w:lang w:val="ru-RU" w:eastAsia="ru-RU" w:bidi="ru-RU"/>
        </w:rPr>
        <w:t xml:space="preserve">Кому </w:t>
      </w:r>
      <w:r>
        <w:rPr>
          <w:color w:val="656565"/>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Чудинов Артём Михайлович</w:t>
      </w:r>
    </w:p>
    <w:p>
      <w:pPr>
        <w:pStyle w:val="Style39"/>
        <w:keepNext w:val="0"/>
        <w:keepLines w:val="0"/>
        <w:widowControl w:val="0"/>
        <w:shd w:val="clear" w:color="auto" w:fill="auto"/>
        <w:bidi w:val="0"/>
        <w:spacing w:before="0" w:after="0" w:line="240" w:lineRule="auto"/>
        <w:ind w:right="0" w:firstLine="0"/>
        <w:jc w:val="both"/>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008006Е91930АЗВ96В99ЭЕВЗЗАВ8Е5ВС38</w:t>
      </w:r>
    </w:p>
    <w:p>
      <w:pPr>
        <w:pStyle w:val="Style39"/>
        <w:keepNext w:val="0"/>
        <w:keepLines w:val="0"/>
        <w:widowControl w:val="0"/>
        <w:shd w:val="clear" w:color="auto" w:fill="auto"/>
        <w:bidi w:val="0"/>
        <w:spacing w:before="0" w:after="6900" w:line="240" w:lineRule="auto"/>
        <w:ind w:right="0" w:firstLine="0"/>
        <w:jc w:val="both"/>
      </w:pPr>
      <w:r>
        <w:rPr>
          <w:color w:val="656565"/>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56565"/>
          <w:spacing w:val="0"/>
          <w:w w:val="100"/>
          <w:position w:val="0"/>
          <w:shd w:val="clear" w:color="auto" w:fill="auto"/>
          <w:lang w:val="ru-RU" w:eastAsia="ru-RU" w:bidi="ru-RU"/>
        </w:rPr>
        <w:t xml:space="preserve">06.09.2024 </w:t>
      </w:r>
      <w:r>
        <w:rPr>
          <w:color w:val="878787"/>
          <w:spacing w:val="0"/>
          <w:w w:val="100"/>
          <w:position w:val="0"/>
          <w:shd w:val="clear" w:color="auto" w:fill="auto"/>
          <w:lang w:val="ru-RU" w:eastAsia="ru-RU" w:bidi="ru-RU"/>
        </w:rPr>
        <w:t xml:space="preserve">по </w:t>
      </w:r>
      <w:r>
        <w:rPr>
          <w:color w:val="656565"/>
          <w:spacing w:val="0"/>
          <w:w w:val="100"/>
          <w:position w:val="0"/>
          <w:shd w:val="clear" w:color="auto" w:fill="auto"/>
          <w:lang w:val="ru-RU" w:eastAsia="ru-RU" w:bidi="ru-RU"/>
        </w:rPr>
        <w:t>30.11.2025</w:t>
      </w:r>
    </w:p>
    <w:p>
      <w:pPr>
        <w:pStyle w:val="Style13"/>
        <w:keepNext w:val="0"/>
        <w:keepLines w:val="0"/>
        <w:widowControl w:val="0"/>
        <w:shd w:val="clear" w:color="auto" w:fill="auto"/>
        <w:bidi w:val="0"/>
        <w:spacing w:before="0" w:after="14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Исп.Журавлев М.А. тел.8(342)235-12-89</w:t>
      </w:r>
    </w:p>
    <w:sectPr>
      <w:footerReference w:type="default" r:id="rId16"/>
      <w:footnotePr>
        <w:pos w:val="pageBottom"/>
        <w:numFmt w:val="decimal"/>
        <w:numRestart w:val="continuous"/>
      </w:footnotePr>
      <w:pgSz w:w="11900" w:h="16840"/>
      <w:pgMar w:top="1110" w:right="550" w:bottom="1110" w:left="1106" w:header="682"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10016490</wp:posOffset>
              </wp:positionV>
              <wp:extent cx="572770" cy="100330"/>
              <wp:wrapNone/>
              <wp:docPr id="2" name="Shape 2"/>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2025-924</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6.950000000000003pt;margin-top:788.70000000000005pt;width:45.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2025-924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572770" cy="100330"/>
              <wp:wrapNone/>
              <wp:docPr id="4" name="Shape 4"/>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2025-924</w:t>
                          </w:r>
                        </w:p>
                      </w:txbxContent>
                    </wps:txbx>
                    <wps:bodyPr wrap="none" lIns="0" tIns="0" rIns="0" bIns="0">
                      <a:spAutoFit/>
                    </wps:bodyPr>
                  </wps:wsp>
                </a:graphicData>
              </a:graphic>
            </wp:anchor>
          </w:drawing>
        </mc:Choice>
        <mc:Fallback>
          <w:pict>
            <v:shape id="_x0000_s1030" type="#_x0000_t202" style="position:absolute;margin-left:57.pt;margin-top:776.20000000000005pt;width:45.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2025-924</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723265</wp:posOffset>
              </wp:positionH>
              <wp:positionV relativeFrom="page">
                <wp:posOffset>10016490</wp:posOffset>
              </wp:positionV>
              <wp:extent cx="572770" cy="100330"/>
              <wp:wrapNone/>
              <wp:docPr id="6" name="Shape 6"/>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2025-924</w:t>
                          </w:r>
                        </w:p>
                      </w:txbxContent>
                    </wps:txbx>
                    <wps:bodyPr wrap="none" lIns="0" tIns="0" rIns="0" bIns="0">
                      <a:spAutoFit/>
                    </wps:bodyPr>
                  </wps:wsp>
                </a:graphicData>
              </a:graphic>
            </wp:anchor>
          </w:drawing>
        </mc:Choice>
        <mc:Fallback>
          <w:pict>
            <v:shape id="_x0000_s1032" type="#_x0000_t202" style="position:absolute;margin-left:56.950000000000003pt;margin-top:788.70000000000005pt;width:45.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2025-924</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723265</wp:posOffset>
              </wp:positionH>
              <wp:positionV relativeFrom="page">
                <wp:posOffset>10016490</wp:posOffset>
              </wp:positionV>
              <wp:extent cx="572770" cy="100330"/>
              <wp:wrapNone/>
              <wp:docPr id="8" name="Shape 8"/>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2025-924</w:t>
                          </w:r>
                        </w:p>
                      </w:txbxContent>
                    </wps:txbx>
                    <wps:bodyPr wrap="none" lIns="0" tIns="0" rIns="0" bIns="0">
                      <a:spAutoFit/>
                    </wps:bodyPr>
                  </wps:wsp>
                </a:graphicData>
              </a:graphic>
            </wp:anchor>
          </w:drawing>
        </mc:Choice>
        <mc:Fallback>
          <w:pict>
            <v:shape id="_x0000_s1034" type="#_x0000_t202" style="position:absolute;margin-left:56.950000000000003pt;margin-top:788.70000000000005pt;width:45.100000000000001pt;height:7.9000000000000004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2025-924</w:t>
                    </w:r>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723265</wp:posOffset>
              </wp:positionH>
              <wp:positionV relativeFrom="page">
                <wp:posOffset>10016490</wp:posOffset>
              </wp:positionV>
              <wp:extent cx="572770" cy="100330"/>
              <wp:wrapNone/>
              <wp:docPr id="16" name="Shape 16"/>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2025-924</w:t>
                          </w:r>
                        </w:p>
                      </w:txbxContent>
                    </wps:txbx>
                    <wps:bodyPr wrap="none" lIns="0" tIns="0" rIns="0" bIns="0">
                      <a:spAutoFit/>
                    </wps:bodyPr>
                  </wps:wsp>
                </a:graphicData>
              </a:graphic>
            </wp:anchor>
          </w:drawing>
        </mc:Choice>
        <mc:Fallback>
          <w:pict>
            <v:shape id="_x0000_s1042" type="#_x0000_t202" style="position:absolute;margin-left:56.950000000000003pt;margin-top:788.70000000000005pt;width:45.100000000000001pt;height:7.9000000000000004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2025-924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9">
    <w:name w:val="Основной текст (4)_"/>
    <w:basedOn w:val="DefaultParagraphFont"/>
    <w:link w:val="Style8"/>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11">
    <w:name w:val="Заголовок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u w:val="none"/>
    </w:rPr>
  </w:style>
  <w:style w:type="character" w:customStyle="1" w:styleId="CharStyle16">
    <w:name w:val="Заголовок №3_"/>
    <w:basedOn w:val="DefaultParagraphFont"/>
    <w:link w:val="Style15"/>
    <w:rPr>
      <w:rFonts w:ascii="Times New Roman" w:eastAsia="Times New Roman" w:hAnsi="Times New Roman" w:cs="Times New Roman"/>
      <w:b/>
      <w:bCs/>
      <w:i w:val="0"/>
      <w:iCs w:val="0"/>
      <w:smallCaps w:val="0"/>
      <w:strike w:val="0"/>
      <w:u w:val="none"/>
    </w:rPr>
  </w:style>
  <w:style w:type="character" w:customStyle="1" w:styleId="CharStyle19">
    <w:name w:val="Заголовок №1_"/>
    <w:basedOn w:val="DefaultParagraphFont"/>
    <w:link w:val="Style18"/>
    <w:rPr>
      <w:rFonts w:ascii="Arial" w:eastAsia="Arial" w:hAnsi="Arial" w:cs="Arial"/>
      <w:b w:val="0"/>
      <w:bCs w:val="0"/>
      <w:i w:val="0"/>
      <w:iCs w:val="0"/>
      <w:smallCaps w:val="0"/>
      <w:strike w:val="0"/>
      <w:sz w:val="32"/>
      <w:szCs w:val="32"/>
      <w:u w:val="none"/>
    </w:rPr>
  </w:style>
  <w:style w:type="character" w:customStyle="1" w:styleId="CharStyle22">
    <w:name w:val="Подпись к картинке_"/>
    <w:basedOn w:val="DefaultParagraphFont"/>
    <w:link w:val="Style21"/>
    <w:rPr>
      <w:rFonts w:ascii="Georgia" w:eastAsia="Georgia" w:hAnsi="Georgia" w:cs="Georgia"/>
      <w:b w:val="0"/>
      <w:bCs w:val="0"/>
      <w:i w:val="0"/>
      <w:iCs w:val="0"/>
      <w:smallCaps w:val="0"/>
      <w:strike w:val="0"/>
      <w:color w:val="1E1E1E"/>
      <w:sz w:val="11"/>
      <w:szCs w:val="11"/>
      <w:u w:val="none"/>
    </w:rPr>
  </w:style>
  <w:style w:type="character" w:customStyle="1" w:styleId="CharStyle27">
    <w:name w:val="Другое_"/>
    <w:basedOn w:val="DefaultParagraphFont"/>
    <w:link w:val="Style26"/>
    <w:rPr>
      <w:rFonts w:ascii="Times New Roman" w:eastAsia="Times New Roman" w:hAnsi="Times New Roman" w:cs="Times New Roman"/>
      <w:b w:val="0"/>
      <w:bCs w:val="0"/>
      <w:i w:val="0"/>
      <w:iCs w:val="0"/>
      <w:smallCaps w:val="0"/>
      <w:strike w:val="0"/>
      <w:u w:val="none"/>
    </w:rPr>
  </w:style>
  <w:style w:type="character" w:customStyle="1" w:styleId="CharStyle40">
    <w:name w:val="Основной текст (3)_"/>
    <w:basedOn w:val="DefaultParagraphFont"/>
    <w:link w:val="Style39"/>
    <w:rPr>
      <w:rFonts w:ascii="Arial" w:eastAsia="Arial" w:hAnsi="Arial" w:cs="Arial"/>
      <w:b w:val="0"/>
      <w:bCs w:val="0"/>
      <w:i w:val="0"/>
      <w:iCs w:val="0"/>
      <w:smallCaps w:val="0"/>
      <w:strike w:val="0"/>
      <w:color w:val="3F3F3F"/>
      <w:sz w:val="12"/>
      <w:szCs w:val="1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2)"/>
    <w:basedOn w:val="Normal"/>
    <w:link w:val="CharStyle6"/>
    <w:pPr>
      <w:widowControl w:val="0"/>
      <w:shd w:val="clear" w:color="auto" w:fill="auto"/>
      <w:spacing w:after="30" w:line="269"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8">
    <w:name w:val="Основной текст (4)"/>
    <w:basedOn w:val="Normal"/>
    <w:link w:val="CharStyle9"/>
    <w:pPr>
      <w:widowControl w:val="0"/>
      <w:shd w:val="clear" w:color="auto" w:fill="auto"/>
      <w:spacing w:after="180"/>
      <w:jc w:val="center"/>
    </w:pPr>
    <w:rPr>
      <w:rFonts w:ascii="Times New Roman" w:eastAsia="Times New Roman" w:hAnsi="Times New Roman" w:cs="Times New Roman"/>
      <w:b/>
      <w:bCs/>
      <w:i w:val="0"/>
      <w:iCs w:val="0"/>
      <w:smallCaps w:val="0"/>
      <w:strike w:val="0"/>
      <w:color w:val="476198"/>
      <w:sz w:val="19"/>
      <w:szCs w:val="19"/>
      <w:u w:val="none"/>
    </w:rPr>
  </w:style>
  <w:style w:type="paragraph" w:customStyle="1" w:styleId="Style10">
    <w:name w:val="Заголовок №2"/>
    <w:basedOn w:val="Normal"/>
    <w:link w:val="CharStyle11"/>
    <w:pPr>
      <w:widowControl w:val="0"/>
      <w:shd w:val="clear" w:color="auto" w:fill="auto"/>
      <w:spacing w:after="320"/>
      <w:ind w:firstLine="14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5">
    <w:name w:val="Заголовок №3"/>
    <w:basedOn w:val="Normal"/>
    <w:link w:val="CharStyle16"/>
    <w:pPr>
      <w:widowControl w:val="0"/>
      <w:shd w:val="clear" w:color="auto" w:fill="auto"/>
      <w:outlineLvl w:val="2"/>
    </w:pPr>
    <w:rPr>
      <w:rFonts w:ascii="Times New Roman" w:eastAsia="Times New Roman" w:hAnsi="Times New Roman" w:cs="Times New Roman"/>
      <w:b/>
      <w:bCs/>
      <w:i w:val="0"/>
      <w:iCs w:val="0"/>
      <w:smallCaps w:val="0"/>
      <w:strike w:val="0"/>
      <w:u w:val="none"/>
    </w:rPr>
  </w:style>
  <w:style w:type="paragraph" w:customStyle="1" w:styleId="Style18">
    <w:name w:val="Заголовок №1"/>
    <w:basedOn w:val="Normal"/>
    <w:link w:val="CharStyle19"/>
    <w:pPr>
      <w:widowControl w:val="0"/>
      <w:shd w:val="clear" w:color="auto" w:fill="auto"/>
      <w:spacing w:after="240"/>
      <w:outlineLvl w:val="0"/>
    </w:pPr>
    <w:rPr>
      <w:rFonts w:ascii="Arial" w:eastAsia="Arial" w:hAnsi="Arial" w:cs="Arial"/>
      <w:b w:val="0"/>
      <w:bCs w:val="0"/>
      <w:i w:val="0"/>
      <w:iCs w:val="0"/>
      <w:smallCaps w:val="0"/>
      <w:strike w:val="0"/>
      <w:sz w:val="32"/>
      <w:szCs w:val="32"/>
      <w:u w:val="none"/>
    </w:rPr>
  </w:style>
  <w:style w:type="paragraph" w:customStyle="1" w:styleId="Style21">
    <w:name w:val="Подпись к картинке"/>
    <w:basedOn w:val="Normal"/>
    <w:link w:val="CharStyle22"/>
    <w:pPr>
      <w:widowControl w:val="0"/>
      <w:shd w:val="clear" w:color="auto" w:fill="auto"/>
    </w:pPr>
    <w:rPr>
      <w:rFonts w:ascii="Georgia" w:eastAsia="Georgia" w:hAnsi="Georgia" w:cs="Georgia"/>
      <w:b w:val="0"/>
      <w:bCs w:val="0"/>
      <w:i w:val="0"/>
      <w:iCs w:val="0"/>
      <w:smallCaps w:val="0"/>
      <w:strike w:val="0"/>
      <w:color w:val="1E1E1E"/>
      <w:sz w:val="11"/>
      <w:szCs w:val="11"/>
      <w:u w:val="none"/>
    </w:rPr>
  </w:style>
  <w:style w:type="paragraph" w:customStyle="1" w:styleId="Style26">
    <w:name w:val="Другое"/>
    <w:basedOn w:val="Normal"/>
    <w:link w:val="CharStyle27"/>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39">
    <w:name w:val="Основной текст (3)"/>
    <w:basedOn w:val="Normal"/>
    <w:link w:val="CharStyle40"/>
    <w:pPr>
      <w:widowControl w:val="0"/>
      <w:shd w:val="clear" w:color="auto" w:fill="auto"/>
      <w:spacing w:after="3450"/>
      <w:ind w:left="3100"/>
    </w:pPr>
    <w:rPr>
      <w:rFonts w:ascii="Arial" w:eastAsia="Arial" w:hAnsi="Arial" w:cs="Arial"/>
      <w:b w:val="0"/>
      <w:bCs w:val="0"/>
      <w:i w:val="0"/>
      <w:iCs w:val="0"/>
      <w:smallCaps w:val="0"/>
      <w:strike w:val="0"/>
      <w:color w:val="3F3F3F"/>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footer" Target="footer4.xml"/><Relationship Id="rId11" Type="http://schemas.openxmlformats.org/officeDocument/2006/relationships/footer" Target="footer5.xml"/><Relationship Id="rId12" Type="http://schemas.openxmlformats.org/officeDocument/2006/relationships/footer" Target="footer6.xml"/><Relationship Id="rId13" Type="http://schemas.openxmlformats.org/officeDocument/2006/relationships/footer" Target="footer7.xml"/><Relationship Id="rId14" Type="http://schemas.openxmlformats.org/officeDocument/2006/relationships/image" Target="media/image2.jpeg"/><Relationship Id="rId15" Type="http://schemas.openxmlformats.org/officeDocument/2006/relationships/image" Target="media/image2.jpeg" TargetMode="External"/><Relationship Id="rId16" Type="http://schemas.openxmlformats.org/officeDocument/2006/relationships/footer" Target="footer8.xml"/></Relationships>
</file>