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1784350</wp:posOffset>
            </wp:positionH>
            <wp:positionV relativeFrom="paragraph">
              <wp:posOffset>12700</wp:posOffset>
            </wp:positionV>
            <wp:extent cx="511810" cy="597535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59753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2700" distR="12700" simplePos="0" relativeHeight="125829379" behindDoc="0" locked="0" layoutInCell="1" allowOverlap="1">
                <wp:simplePos x="0" y="0"/>
                <wp:positionH relativeFrom="page">
                  <wp:posOffset>922020</wp:posOffset>
                </wp:positionH>
                <wp:positionV relativeFrom="paragraph">
                  <wp:posOffset>709930</wp:posOffset>
                </wp:positionV>
                <wp:extent cx="2249170" cy="826135"/>
                <wp:wrapSquare wrapText="bothSides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9170" cy="8261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Липецкой области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72.600000000000009pt;margin-top:55.899999999999999pt;width:177.09999999999999pt;height:65.049999999999997pt;z-index:-125829374;mso-wrap-distance-left:1.pt;mso-wrap-distance-right:1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Липецкой области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381" behindDoc="0" locked="0" layoutInCell="1" allowOverlap="1">
                <wp:simplePos x="0" y="0"/>
                <wp:positionH relativeFrom="page">
                  <wp:posOffset>800100</wp:posOffset>
                </wp:positionH>
                <wp:positionV relativeFrom="paragraph">
                  <wp:posOffset>1795145</wp:posOffset>
                </wp:positionV>
                <wp:extent cx="2456815" cy="652145"/>
                <wp:wrapSquare wrapText="bothSides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56815" cy="6521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пл. Плеханова, 1, г. Липецк, 398050</w:t>
                              <w:br/>
                              <w:t>тел./факс (4742) 27-14-82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е-таП: 1о48@Газ.§оу.ги кНр://Нреик.&amp;8.§оу.п1</w:t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43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3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0.01.2025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ТР/514/25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63.pt;margin-top:141.34999999999999pt;width:193.45000000000002pt;height:51.350000000000001pt;z-index:-125829372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9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пл. Плеханова, 1, г. Липецк, 398050</w:t>
                        <w:br/>
                        <w:t>тел./факс (4742) 27-14-82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9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е-таП: 1о48@Газ.§оу.ги кНр://Нреик.&amp;8.§оу.п1</w:t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43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3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0.01.2025</w:t>
                        <w:tab/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ТР/514/25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3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ОБЛАСТНОЕ КАЗЕННОЕ УЧРЕЖДЕНИЕ "УПРАВЛЕНИЕ ПО РАЗМЕЩЕНИЮ ГОСЗАКАЗА ЛИПЕЦКОЙ ОБЛАСТИ"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13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1&lt;хур11опдо5/ака/@ас1т1г.11ре15к.1Т1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300" w:right="0" w:firstLine="0"/>
        <w:jc w:val="left"/>
        <w:sectPr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294" w:right="642" w:bottom="1232" w:left="5129" w:header="0" w:footer="3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Общество с ограниченной ответственностью "Карусель" каги§е1-8а@уап4ех.ги</w:t>
      </w:r>
    </w:p>
    <w:p>
      <w:pPr>
        <w:widowControl w:val="0"/>
        <w:spacing w:line="219" w:lineRule="exact"/>
        <w:rPr>
          <w:sz w:val="18"/>
          <w:szCs w:val="1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4" w:right="0" w:bottom="121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framePr w:w="4061" w:h="245" w:wrap="none" w:vAnchor="text" w:hAnchor="page" w:x="114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color w:val="476099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widowControl w:val="0"/>
        <w:spacing w:line="360" w:lineRule="exact"/>
      </w:pPr>
      <w:r>
        <w:drawing>
          <wp:anchor distT="460375" distB="0" distL="3175" distR="0" simplePos="0" relativeHeight="62914692" behindDoc="1" locked="0" layoutInCell="1" allowOverlap="1">
            <wp:simplePos x="0" y="0"/>
            <wp:positionH relativeFrom="page">
              <wp:posOffset>727075</wp:posOffset>
            </wp:positionH>
            <wp:positionV relativeFrom="paragraph">
              <wp:posOffset>473075</wp:posOffset>
            </wp:positionV>
            <wp:extent cx="2597150" cy="176530"/>
            <wp:wrapNone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ext cx="2597150" cy="1765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637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4" w:right="537" w:bottom="1216" w:left="1097" w:header="0" w:footer="3" w:gutter="0"/>
          <w:cols w:space="720"/>
          <w:noEndnote/>
          <w:rtlGutter w:val="0"/>
          <w:docGrid w:linePitch="360"/>
        </w:sectPr>
      </w:pP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№ 048/06/106-42/2025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3" behindDoc="0" locked="0" layoutInCell="1" allowOverlap="1">
                <wp:simplePos x="0" y="0"/>
                <wp:positionH relativeFrom="page">
                  <wp:posOffset>6386830</wp:posOffset>
                </wp:positionH>
                <wp:positionV relativeFrom="paragraph">
                  <wp:posOffset>12700</wp:posOffset>
                </wp:positionV>
                <wp:extent cx="694690" cy="234950"/>
                <wp:wrapSquare wrapText="lef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9469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Липецк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02.90000000000003pt;margin-top:1.pt;width:54.700000000000003pt;height:18.5pt;z-index:-125829370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Липецк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«28» января 2025 года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Резолютивная часть решения оглашена 28.01.2025.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в полном объеме изготовлено 30.01.2025.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Липецкого УФАС России по контролю в сфере закупок товаров, работ, услуг для обеспечения государственных и муниципальных нужд на территории Липецкой области (далее - Комиссия; Комиссия Липецкого УФАС России) в составе: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заместитель председателя Комиссии: Т.Н. Ролдугина - начальник отдела контроля закупок и торгов,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 А.В. Афанасьева - ведущий специалист-эксперт контроля закупок и торгов, Сарнецкая Е.А. - главный специалист-эксперт отдела антимонопольного контроля на товарных и финансовых рынках,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участии: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43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посредством видеоконференцсвязи представителя ООО "Карусель": Строгоновой Л.Н. (по доверенности),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38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представителя областного казенного учреждения "Управление по размещению госзаказа Липецкой области": Стрельниковой Т.В. (по доверенности),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48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представителя заказчика - муниципального бюджетного общеобразовательного учреждения "Школа № 6" города Липецка имени В. Шавкова» - Кузнецовой Ю.Ю. (по доверенности),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"Карусель" на действия комиссии по осуществлению закупок областного казенного учреждения "Управление по размещению госзаказа Липецкой области" при проведении электронного аукциона на поставку монитора, подключаемый к компьютеру (реестровый номер 0846500000624001212) (далее - электронный аукцион; закупка), а также другие документы (копии), представленные сторонами, а также проведя внеплановую проверку в соответствии со ст.99 Закона о контрактной системе и на основании приказа Липецкого УФАС России,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4" w:right="537" w:bottom="1232" w:left="1097" w:header="0" w:footer="3" w:gutter="0"/>
          <w:cols w:space="720"/>
          <w:noEndnote/>
          <w:rtlGutter w:val="0"/>
          <w:docGrid w:linePitch="360"/>
        </w:sectPr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111111111111111111111111</w:t>
      </w:r>
      <w:bookmarkEnd w:id="0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 С Т А Н О В И Л А: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Липецкое УФАС России посредством ЕИС поступила жалоба ООО "Карусель" на действия комиссии по осуществлению закупок областного казенного учреждения "Управление по размещению госзаказа Липецкой области" (далее - уполномоченное учреждение) при проведении электронного аукциона (заказчик - муниципальное бюджетное общеобразовательное учреждение "Школа № 6" города Липецка имени В. Шавкова»).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Жалоба подготовлена в соответствии с требованиями статьи 105 Федерального закона от 05.04.2013 № 44-ФЗ "О контрактной системе в сфере закупок товаров, работ, услуг для обеспечения государственных и муниципальных нужд" (далее - Закон о контрактной системе) и подана в срок, установленный ст.105 Закона о контрактной системе. В связи с этим жалоба была принята Липецким УФАС России к рассмотрению.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времени и месте рассмотрения жалобы размещены Липецким УФАС России в ЕИС, а также направлены сторонам по электронной почте.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Представитель заявителя указал, что комиссией по осуществлению закупок неправомерно отклонена заявка заявителя. По мнению представителя заявителя, в заявке, которая включает все представленные документы и сведения, содержалась исчерпывающая информация о товаре, предполагаемого к поставке, в частности: производитель, наименование/товарный знак «монитор Гравитон МН24Б, ЕЦРТ.467846.001-02». Также, заказчик заведомо ограничил конкуренцию, установив в приложении к извещению «Требования к содержанию, составу заявки на участие в закупке и инструкция по ее заполнению» требование об указании товарного знака посредством ЭП.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Представитель уполномоченного учреждения пояснил, что комиссия не нарушила порядок рассмотрении заявок. Заявитель нигде не указал сведений о зарегистрированном товарном знаке на предложенный к поставке товар.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Относительно довода о неправомерном установлении в извещении требования об указании товарного знака посредством ЭП, Комиссия отмечает, что данный довод не подлежит рассмотрению на основании следующего.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соответствии с положениям п. 1 ч. 2 ст. 105 Закона о контрактной системе жалоба на положения извещения об осуществлении закупки, документации о закупке (в случае, если настоящим Федеральным законом предусмотрена документация о закупке)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может быть подана до окончания срока подачи заявок на участие в закупке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извещению о проведении закупки: окончание срока подачи заявок - 15.01.2025.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Однако, жалоба заявителя подана посредством функционала ЕИС 21.01.2025, то есть по истечении установленного ст. 105 Закона о закупках срока обжалования.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заявитель подал заявку на участие в закупке, вследствие чего обжалуемые положения извещения не препятствовали его участию в закупке.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Извещение о проведении закупки размещено 27.12.2024 в ЕИС.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контракта составляет 451 780,05 руб.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76" w:lineRule="auto"/>
        <w:ind w:left="0" w:right="0" w:firstLine="600"/>
        <w:jc w:val="both"/>
        <w:rPr>
          <w:sz w:val="24"/>
          <w:szCs w:val="24"/>
        </w:rPr>
        <w:sectPr>
          <w:footerReference w:type="default" r:id="rId10"/>
          <w:footnotePr>
            <w:pos w:val="pageBottom"/>
            <w:numFmt w:val="decimal"/>
            <w:numRestart w:val="continuous"/>
          </w:footnotePr>
          <w:pgSz w:w="11900" w:h="16840"/>
          <w:pgMar w:top="1110" w:right="531" w:bottom="598" w:left="1101" w:header="682" w:footer="170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 xml:space="preserve">Согласно протоколу подведения итогов определения поставщика (подрядчика, исполнителя) от 17.01.2025 №ИЭА1 на участие в электронном аукционе подано 8 заявок. Заявка с идентификационным номером 97 (заявитель) отклонена </w:t>
      </w:r>
      <w:r>
        <w:rPr>
          <w:color w:val="000000"/>
          <w:spacing w:val="0"/>
          <w:w w:val="100"/>
          <w:position w:val="0"/>
          <w:sz w:val="26"/>
          <w:szCs w:val="26"/>
          <w:u w:val="single"/>
          <w:shd w:val="clear" w:color="auto" w:fill="auto"/>
          <w:lang w:val="ru-RU" w:eastAsia="ru-RU" w:bidi="ru-RU"/>
        </w:rPr>
        <w:t>в связи с непредставлением участником закупки информации о товарном знаке</w:t>
      </w: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 xml:space="preserve"> (при наличии у товара товарного знака), предусмотренной пп. 4.1 п. 1, п. 2 электронного документа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2025-663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«Требования к содержанию, составу заявки на участие в закупке и инструкция по ее заполнению» извещения об осуществлении закупки, требования к которой установлены в соответствии с пп. «а» п. 2 ч. 1 ст. 43 Федерального закона № 44-ФЗ. В предложении участника закупки, сформированном с использованием электронной площадки в соответствии с пунктом 31 Дополнительных требований к операторам электронных площадок, операторам специализированных электронных площадок и функционированию электронных площадок, специализированных электронных площадок, утвержденных постановлением Правительства Российской Федерации от 08.06.2018 № 656, не указана информация о товарном знаке предлагаемого монитора, подключаемого к компьютеру.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При этом для целей реализации постановления Правительства Российской Федерации от 10.07.2019 № 878 участником закупки в составе заявки на участие в закупке указан (задекларирован) номер реестровой записи из единого реестра российской радиоэлектронной продукции 10500345, которому соответствует продукция с наименованием «Монитор Гравитон МН24Б, ЕЦРТ.467846.001-02», предприятие производитель - ООО «Новый Ай Ти Проект» Согласно информации, размещенной на официальном сайте Роспатента, на вышеуказанный предложенный участником закупки товар зарегистрирован товарный знак «ГРАВИТОН»)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 3 ч. 2 ст. 42 Закона о контрактной системе, извещение об осуществлении закупки, если иное не предусмотрено Законом о контрактной системе, должно требования к содержанию, составу заявки на участие в закупке в соответствии с Законом о контрактной системе и инструкцию по ее заполнению. При этом, не допускается установление требований, влекущих за собой ограничение количества участников закупки.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пп. "а" п. 2 ч. 1 ст. 43 Закона о контрактной системе, для участия в конкурентном способе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заявка на участие в закупке, если иное не предусмотрено Законом о контрактной системе, должна содержать предложение участника закупки в отношении объекта закупки с учетом положений части 2 указанной статьи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характеристики предлагаемого участником закупки товара, соответствующие показателям, установленным в описании объекта закупки в соответствии с ч. 2 ст. 33 Закона о контрактной системе,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товарный знак (при наличии у товара товарного знака)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силу п. 4.1 требований к содержанию, составу заявки на участие в закупке и инструкции по ее заполнению, являющихся приложением к извещению о проведении рассматриваемой закупки, заявка на участие в закупке должна содержать предложение участника закупки в отношении объекта закупки с указанием характеристик предлагаемого участником закупки товара, соответствующих показателям, установленным в описании объекта закупки, товарный знак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(при наличии у товара товарного знака)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 этом в инструкции по заполнению заявки установлены положения в соответствии с п. 31 Постановления Правительства Российской Федерации от 08.06.2018 \656 "О требованиях к операторам электронных площадок, операторам специализированных электронных площадок, электронным площадкам, специализированным электронным площадкам и функционированию электронных площадок, специализированных электронных площадок, подтверждении соответствия таким требованиям, об утрате юридическим лицом статуса оператора электронной площадки, оператора специализированной электронной площадки" - </w:t>
      </w: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с использованием электронной площадки, специализированной электронной площадки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формируются наименование страны происхождения товара, </w:t>
      </w: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товарный знак (при наличии у товара товарного знака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Комиссия Липецкого УФАС России, проанализировав представленную оператором электронной площадки заявку заявителя с идентификационным номером 97, установила, что в сведениях о товаре, сформированных с использованием функционала электронной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площадки, в графе "товарный знак" сведения о товарном знаке отсутствуют (содержится знак «-»).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Также установлено, что в целях соблюдения требований постановления Правительства Российской Федерации от 10.07.2019 №878, указанного в извещении, заявителем в составе заявки предоставлена выписка из реестра российской промышленной продукции (реестровый номер - 10500345), которая содержит сведения о производителе товара - ООО «НОВЫЙ АЙ ТИ ПРОЕКТ», а также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наименование производимой промышленной продукции: </w:t>
      </w: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«Монитор Гравитон МН24Б, ЕЦРТ.467846.001-02»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 этом, Комиссией Липецкого УФАС России установлено, что согласно информации, размещенной на официальном сайте Роспатента и представленным документам, ООО «НОВЫЙ АЙ ТИ ПРОЕКТ» зарегистрирован товарный знак «ГРАВИТОН» (в том числе, на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мониторы [компьютерное оборудование])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этой связи Комиссия считает неверным утверждение заявителя, что представленная им выписка из реестра российской промышленной продукции (реестровый номер - 10500345) содержит указание на товарный знак предложенного им товара.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данном случае из выписки усматривается, что «Монитор Гравитон МН24Б, ЕЦРТ.467846.001-02» является наименованием товара. В тоже время в ней не содержится сведений о товарном знаке товара.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Совпадение словесного обозначения товарного знака с используемым производителем словом в наименовании товара не свидетельствует о соблюдении участником закупки обязанности по указанию товарного знака (при его наличии).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Следует учесть, что в соответствии с позицией Минфина России, изложенной в письме от 18.12.2023 ^ 24-01-10/122331, при формировании предложения в отношении объекта закупки, предусмотренного п. 2 ч. 1 ст. 43 Закона о контрактной системе, формируются с использованием электронной площадки (путем заполнения экранных форм веб-интерфейса электронной площадки - в "структурированном виде") наименование страны происхождения товара, товарный знак (при наличии у товара товарного знака), а также характеристики предлагаемого участником закупки товара в части характеристик, содержащихся в соответствии с п. 5 ч. 1 ст. 42 Закона о контрактной системе в извещении об осуществлении закупки. Указание участником закупки вышеуказанных наименования страны происхождения товара, товарного знака (при наличии у товара товарного знака), характеристик предлагаемого участником закупки товара в иных информации и документах, включаемых в заявку на участие в закупке в качестве приложений, не предусмотрено и не требуется.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из вышеуказанной позиции Минфина России, в том числе, следует, что, при формировании предложения в отношении объекта закупки сведения о товарном знаке (при наличии у товара товарного знака) формируются с использованием электронной площадки: путем заполнения экранных форм веб-интерфейса электронной площадки - в "структурированном виде". Указание участником закупки товарного знака (при наличии у товара товарного знака) в качестве каких-либо приложений не предусмотрено и не требуется.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пп. "а" п. 1 ч. 5 ст. 49 Закона о контрактной системе,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закупки,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пунктом 4 части 4 данной статьи, и принимают решение о признании заявки на участие в закупке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данного Федерального закона.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этом, согласно п. 1 ч. 12 ст. 48 Закона о контрактной системе, заявка подлежит отклонению в случае непредставления (за исключением случаев, предусмотренных данным Федеральным законом) в заявке на участие в закупке информации и документов, предусмотренных извещением об осуществлении закупки в соответствии с данным Федеральным законом (за исключением информации и документов, предусмотренных пунктами 2 и 3 части 6 статьи 43 указанного Федерального закона), несоответствия таких информации и документов требованиям, установленным в извещении об осуществлении закупки.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поскольку в заявке заявителя в структурированном виде не содержится указания в отношении товарного знака предлагаемого к поставке товара, в выписке из реестра российской промышленной продукции (реестровый номер - 10500345) указано наименование производимой промышленной продукции, но не указан товарный знак товара, Комиссия приходит к выводу о правомерности действий комиссии по осуществлению закупок уполномоченного учреждения при отклонении заявки заявителя.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6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Руководствуясь ст.ст. 99, 105, 106 Закона о контрактной системе, Комиссия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ООО "Карусель" на действия комиссии по осуществлению закупок областного казенного учреждения "Управление по размещению госзаказа Липецкой области" при проведении электронного аукциона на поставку монитора, подключаемый к компьютеру (реестровый номер 0846500000624001212) необоснованной.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арбитражный суд в течение трех месяцев со дня его вынесения.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90" w:line="240" w:lineRule="auto"/>
        <w:ind w:left="140" w:right="0" w:firstLine="0"/>
        <w:jc w:val="both"/>
      </w:pPr>
      <w:r>
        <w:drawing>
          <wp:anchor distT="97790" distB="0" distL="114300" distR="4119245" simplePos="0" relativeHeight="125829385" behindDoc="0" locked="0" layoutInCell="1" allowOverlap="1">
            <wp:simplePos x="0" y="0"/>
            <wp:positionH relativeFrom="page">
              <wp:posOffset>2893695</wp:posOffset>
            </wp:positionH>
            <wp:positionV relativeFrom="paragraph">
              <wp:posOffset>110490</wp:posOffset>
            </wp:positionV>
            <wp:extent cx="292735" cy="347345"/>
            <wp:wrapSquare wrapText="left"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92735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3277870</wp:posOffset>
                </wp:positionH>
                <wp:positionV relativeFrom="paragraph">
                  <wp:posOffset>174625</wp:posOffset>
                </wp:positionV>
                <wp:extent cx="1725295" cy="255905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58.10000000000002pt;margin-top:13.75pt;width:135.84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210185" distL="3321050" distR="114300" simplePos="0" relativeHeight="125829386" behindDoc="0" locked="0" layoutInCell="1" allowOverlap="1">
                <wp:simplePos x="0" y="0"/>
                <wp:positionH relativeFrom="page">
                  <wp:posOffset>6100445</wp:posOffset>
                </wp:positionH>
                <wp:positionV relativeFrom="paragraph">
                  <wp:posOffset>12700</wp:posOffset>
                </wp:positionV>
                <wp:extent cx="1090930" cy="234950"/>
                <wp:wrapSquare wrapText="left"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9093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Т.Н. Ролдугина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80.35000000000002pt;margin-top:1.pt;width:85.900000000000006pt;height:18.5pt;z-index:-125829367;mso-wrap-distance-left:261.5pt;mso-wrap-distance-right:9.pt;mso-wrap-distance-bottom:16.550000000000001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Т.Н. Ролдугина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Заместитель председателя Комиссии</w:t>
      </w:r>
    </w:p>
    <w:p>
      <w:pPr>
        <w:pStyle w:val="Style25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left="0" w:right="0" w:firstLine="0"/>
        <w:jc w:val="center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Ролдугина Татьяна Николаевна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3B3B3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610Е27024ВЕВ34А4501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98В5А4464784Е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3B3B3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18.03.2024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808080"/>
          <w:spacing w:val="0"/>
          <w:w w:val="100"/>
          <w:position w:val="0"/>
          <w:shd w:val="clear" w:color="auto" w:fill="auto"/>
          <w:lang w:val="ru-RU" w:eastAsia="ru-RU" w:bidi="ru-RU"/>
        </w:rPr>
        <w:t>11.06.2025</w:t>
      </w:r>
    </w:p>
    <w:p>
      <w:pPr>
        <w:widowControl w:val="0"/>
        <w:spacing w:line="1" w:lineRule="exact"/>
        <w:sectPr>
          <w:footerReference w:type="default" r:id="rId13"/>
          <w:footnotePr>
            <w:pos w:val="pageBottom"/>
            <w:numFmt w:val="decimal"/>
            <w:numRestart w:val="continuous"/>
          </w:footnotePr>
          <w:pgSz w:w="11900" w:h="16840"/>
          <w:pgMar w:top="1073" w:right="531" w:bottom="1148" w:left="1101" w:header="645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5400" distB="210185" distL="0" distR="0" simplePos="0" relativeHeight="125829388" behindDoc="0" locked="0" layoutInCell="1" allowOverlap="1">
                <wp:simplePos x="0" y="0"/>
                <wp:positionH relativeFrom="page">
                  <wp:posOffset>778510</wp:posOffset>
                </wp:positionH>
                <wp:positionV relativeFrom="paragraph">
                  <wp:posOffset>25400</wp:posOffset>
                </wp:positionV>
                <wp:extent cx="1237615" cy="231775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37615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61.300000000000004pt;margin-top:2.pt;width:97.450000000000003pt;height:18.25pt;z-index:-125829365;mso-wrap-distance-left:0;mso-wrap-distance-top:2.pt;mso-wrap-distance-right:0;mso-wrap-distance-bottom:16.550000000000001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20015" distB="0" distL="0" distR="1816735" simplePos="0" relativeHeight="125829390" behindDoc="0" locked="0" layoutInCell="1" allowOverlap="1">
            <wp:simplePos x="0" y="0"/>
            <wp:positionH relativeFrom="page">
              <wp:posOffset>2893695</wp:posOffset>
            </wp:positionH>
            <wp:positionV relativeFrom="paragraph">
              <wp:posOffset>120015</wp:posOffset>
            </wp:positionV>
            <wp:extent cx="292735" cy="347345"/>
            <wp:wrapTopAndBottom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ext cx="292735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3277870</wp:posOffset>
                </wp:positionH>
                <wp:positionV relativeFrom="paragraph">
                  <wp:posOffset>187325</wp:posOffset>
                </wp:positionV>
                <wp:extent cx="1725295" cy="2559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58.10000000000002pt;margin-top:14.75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25400" distB="210185" distL="0" distR="0" simplePos="0" relativeHeight="125829391" behindDoc="0" locked="0" layoutInCell="1" allowOverlap="1">
                <wp:simplePos x="0" y="0"/>
                <wp:positionH relativeFrom="page">
                  <wp:posOffset>6073140</wp:posOffset>
                </wp:positionH>
                <wp:positionV relativeFrom="paragraph">
                  <wp:posOffset>25400</wp:posOffset>
                </wp:positionV>
                <wp:extent cx="1115695" cy="231775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15695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Е.А. Сарнецкая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478.19999999999999pt;margin-top:2.pt;width:87.850000000000009pt;height:18.25pt;z-index:-125829362;mso-wrap-distance-left:0;mso-wrap-distance-top:2.pt;mso-wrap-distance-right:0;mso-wrap-distance-bottom:16.550000000000001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Е.А. Сарнецкая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5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</w:pPr>
      <w:r>
        <w:rPr>
          <w:color w:val="E9E9E9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Сарнецкая Елена Анатольевна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3B3B3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B3B3B"/>
          <w:spacing w:val="0"/>
          <w:w w:val="100"/>
          <w:position w:val="0"/>
          <w:shd w:val="clear" w:color="auto" w:fill="auto"/>
          <w:lang w:val="ru-RU" w:eastAsia="ru-RU" w:bidi="ru-RU"/>
        </w:rPr>
        <w:t>7Е4Е4086ВЕ0АЕ564В852ВЕ6Е517О9406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18.06.2024 </w:t>
      </w:r>
      <w:r>
        <w:rPr>
          <w:color w:val="80808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11.09.2025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415" w:line="240" w:lineRule="auto"/>
        <w:ind w:left="1380" w:right="0" w:firstLine="0"/>
        <w:jc w:val="left"/>
      </w:pPr>
      <w:r>
        <w:drawing>
          <wp:anchor distT="0" distB="0" distL="114300" distR="1931035" simplePos="0" relativeHeight="125829393" behindDoc="0" locked="0" layoutInCell="1" allowOverlap="1">
            <wp:simplePos x="0" y="0"/>
            <wp:positionH relativeFrom="page">
              <wp:posOffset>2893695</wp:posOffset>
            </wp:positionH>
            <wp:positionV relativeFrom="paragraph">
              <wp:posOffset>88900</wp:posOffset>
            </wp:positionV>
            <wp:extent cx="292735" cy="347345"/>
            <wp:wrapSquare wrapText="right"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16"/>
                    <a:stretch/>
                  </pic:blipFill>
                  <pic:spPr>
                    <a:xfrm>
                      <a:ext cx="292735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3277870</wp:posOffset>
                </wp:positionH>
                <wp:positionV relativeFrom="paragraph">
                  <wp:posOffset>153035</wp:posOffset>
                </wp:positionV>
                <wp:extent cx="1725295" cy="255905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58.10000000000002pt;margin-top:12.050000000000001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А.В. Афанасьева</w:t>
      </w:r>
    </w:p>
    <w:p>
      <w:pPr>
        <w:pStyle w:val="Style25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left="0" w:right="0" w:firstLine="0"/>
        <w:jc w:val="center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Афанасьева Анна Владимировна </w:t>
      </w:r>
      <w:r>
        <w:rPr>
          <w:color w:val="3B3B3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>68Е587РАЕ8С5ВОА77ЕООВ1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7598555603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100" w:line="266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3B3B3B"/>
          <w:spacing w:val="0"/>
          <w:w w:val="100"/>
          <w:position w:val="0"/>
          <w:shd w:val="clear" w:color="auto" w:fill="auto"/>
          <w:lang w:val="ru-RU" w:eastAsia="ru-RU" w:bidi="ru-RU"/>
        </w:rPr>
        <w:t>08.1</w:t>
      </w:r>
      <w:r>
        <w:rPr>
          <w:color w:val="969696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>01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.02.2026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31" w:bottom="1110" w:left="110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56388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38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2025-663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pt;margin-top:776.20000000000005pt;width:44.39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2025-663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10027920</wp:posOffset>
              </wp:positionV>
              <wp:extent cx="563880" cy="100330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38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2025-663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57.pt;margin-top:789.60000000000002pt;width:44.399999999999999pt;height:7.9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2025-663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099"/>
      <w:sz w:val="16"/>
      <w:szCs w:val="16"/>
      <w:u w:val="none"/>
    </w:rPr>
  </w:style>
  <w:style w:type="character" w:customStyle="1" w:styleId="CharStyle6">
    <w:name w:val="Основной текст (5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099"/>
      <w:sz w:val="19"/>
      <w:szCs w:val="19"/>
      <w:u w:val="none"/>
    </w:rPr>
  </w:style>
  <w:style w:type="character" w:customStyle="1" w:styleId="CharStyle8">
    <w:name w:val="Основной текст (6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1">
    <w:name w:val="Основной текст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3">
    <w:name w:val="Колонтитул (2)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6">
    <w:name w:val="Подпись к картинке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character" w:customStyle="1" w:styleId="CharStyle19">
    <w:name w:val="Заголовок №1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26">
    <w:name w:val="Основной текст (4)_"/>
    <w:basedOn w:val="DefaultParagraphFont"/>
    <w:link w:val="Style2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8">
    <w:name w:val="Основной текст (2)_"/>
    <w:basedOn w:val="DefaultParagraphFont"/>
    <w:link w:val="Style27"/>
    <w:rPr>
      <w:rFonts w:ascii="Arial" w:eastAsia="Arial" w:hAnsi="Arial" w:cs="Arial"/>
      <w:b w:val="0"/>
      <w:bCs w:val="0"/>
      <w:i w:val="0"/>
      <w:iCs w:val="0"/>
      <w:smallCaps w:val="0"/>
      <w:strike w:val="0"/>
      <w:color w:val="616161"/>
      <w:sz w:val="12"/>
      <w:szCs w:val="1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60" w:line="278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099"/>
      <w:sz w:val="16"/>
      <w:szCs w:val="16"/>
      <w:u w:val="none"/>
    </w:rPr>
  </w:style>
  <w:style w:type="paragraph" w:customStyle="1" w:styleId="Style5">
    <w:name w:val="Основной текст (5)"/>
    <w:basedOn w:val="Normal"/>
    <w:link w:val="CharStyle6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099"/>
      <w:sz w:val="19"/>
      <w:szCs w:val="19"/>
      <w:u w:val="none"/>
    </w:rPr>
  </w:style>
  <w:style w:type="paragraph" w:customStyle="1" w:styleId="Style7">
    <w:name w:val="Основной текст (6)"/>
    <w:basedOn w:val="Normal"/>
    <w:link w:val="CharStyle8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0">
    <w:name w:val="Основной текст"/>
    <w:basedOn w:val="Normal"/>
    <w:link w:val="CharStyle11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2">
    <w:name w:val="Колонтитул (2)"/>
    <w:basedOn w:val="Normal"/>
    <w:link w:val="CharStyle1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5">
    <w:name w:val="Подпись к картинке"/>
    <w:basedOn w:val="Normal"/>
    <w:link w:val="CharStyle16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paragraph" w:customStyle="1" w:styleId="Style18">
    <w:name w:val="Заголовок №1"/>
    <w:basedOn w:val="Normal"/>
    <w:link w:val="CharStyle19"/>
    <w:pPr>
      <w:widowControl w:val="0"/>
      <w:shd w:val="clear" w:color="auto" w:fill="auto"/>
      <w:spacing w:after="2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25">
    <w:name w:val="Основной текст (4)"/>
    <w:basedOn w:val="Normal"/>
    <w:link w:val="CharStyle26"/>
    <w:pPr>
      <w:widowControl w:val="0"/>
      <w:shd w:val="clear" w:color="auto" w:fill="auto"/>
      <w:spacing w:after="100"/>
      <w:jc w:val="center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7">
    <w:name w:val="Основной текст (2)"/>
    <w:basedOn w:val="Normal"/>
    <w:link w:val="CharStyle28"/>
    <w:pPr>
      <w:widowControl w:val="0"/>
      <w:shd w:val="clear" w:color="auto" w:fill="auto"/>
      <w:ind w:left="344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16161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image" Target="media/image2.jpeg"/><Relationship Id="rId9" Type="http://schemas.openxmlformats.org/officeDocument/2006/relationships/image" Target="media/image2.jpeg" TargetMode="External"/><Relationship Id="rId10" Type="http://schemas.openxmlformats.org/officeDocument/2006/relationships/footer" Target="footer2.xm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footer" Target="footer3.xml"/><Relationship Id="rId14" Type="http://schemas.openxmlformats.org/officeDocument/2006/relationships/image" Target="media/image4.jpeg"/><Relationship Id="rId15" Type="http://schemas.openxmlformats.org/officeDocument/2006/relationships/image" Target="media/image4.jpeg" TargetMode="External"/><Relationship Id="rId16" Type="http://schemas.openxmlformats.org/officeDocument/2006/relationships/image" Target="media/image5.jpeg"/><Relationship Id="rId17" Type="http://schemas.openxmlformats.org/officeDocument/2006/relationships/image" Target="media/image5.jpeg" TargetMode="External"/></Relationships>
</file>