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015365" distL="114300" distR="2366645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6680" distB="704215" distL="1059180" distR="114300" simplePos="0" relativeHeight="125829379" behindDoc="0" locked="0" layoutInCell="1" allowOverlap="1">
                <wp:simplePos x="0" y="0"/>
                <wp:positionH relativeFrom="page">
                  <wp:posOffset>4649470</wp:posOffset>
                </wp:positionH>
                <wp:positionV relativeFrom="paragraph">
                  <wp:posOffset>119380</wp:posOffset>
                </wp:positionV>
                <wp:extent cx="1868170" cy="8686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8170" cy="868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ФЕДЕРАЛЬНОЙ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8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АНТИМОНОПОЛЬНОЙ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службалбн Коми Республиками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ВЕСЬКОДЛАНШ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6.10000000000002pt;margin-top:9.4000000000000004pt;width:147.09999999999999pt;height:68.400000000000006pt;z-index:-125829374;mso-wrap-distance-left:83.400000000000006pt;mso-wrap-distance-top:8.4000000000000004pt;mso-wrap-distance-right:9.pt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ФЕДЕРАЛЬНОЙ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8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АНТИМОНОПОЛЬНОЙ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службалбн Коми Республиками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ВЕСЬКОДЛАНШ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134110" distB="0" distL="1278890" distR="336550" simplePos="0" relativeHeight="125829381" behindDoc="0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1146810</wp:posOffset>
                </wp:positionV>
                <wp:extent cx="1426210" cy="5454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Интернациональной ул., 160А,</w:t>
                              <w:br/>
                              <w:t>Сыктывкар, ГСП-2, 167982</w:t>
                              <w:br/>
                              <w:t>тел./факс: (8212) 21-41-29</w:t>
                              <w:br/>
                              <w:t>е-таИ: 1о11@Га8.§оу.га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83.40000000000003pt;margin-top:90.299999999999997pt;width:112.3pt;height:42.950000000000003pt;z-index:-125829372;mso-wrap-distance-left:100.7pt;mso-wrap-distance-top:89.299999999999997pt;mso-wrap-distance-right:26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Интернациональной ул., 160А,</w:t>
                        <w:br/>
                        <w:t>Сыктывкар, ГСП-2, 167982</w:t>
                        <w:br/>
                        <w:t>тел./факс: (8212) 21-41-29</w:t>
                        <w:br/>
                        <w:t>е-таИ: 1о11@Га8.§оу.га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448310" distB="0" distL="120650" distR="114300" simplePos="0" relativeHeight="125829383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2551430</wp:posOffset>
            </wp:positionV>
            <wp:extent cx="2621280" cy="1828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2103120</wp:posOffset>
                </wp:positionV>
                <wp:extent cx="2609215" cy="14033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165.59999999999999pt;width:205.45000000000002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63500" distB="0" distL="114300" distR="114300" simplePos="0" relativeHeight="125829384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9174480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Интернациональная, 160А, г. Сыктывкар,</w:t>
        <w:br/>
        <w:t>ГСП-2, 167982, тел./факс: (8212) 21-41-29</w:t>
        <w:br/>
        <w:t>е-таП: 1о11@Га8.§оу.ги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ОД/441/25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00" w:right="0" w:firstLine="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«АлькорФарм»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Республики Коми «Сосногорская центральная районная больница»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011/06/50-42/2025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64" w:val="left"/>
        </w:tabs>
        <w:bidi w:val="0"/>
        <w:spacing w:before="0" w:after="26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января 2025 года</w:t>
        <w:tab/>
        <w:t>г. Сыктывкар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Коми по контролю в сфере закупок в составе: Дейберт О.И. - заместителя руководителя управления - начальника отдела контроля закупок, председателя Комиссии; Овериной А.В. - главного специалиста-эксперта управления, члена Комиссии; Сандул Н.В. - ведущего специалиста-эксперта управления, члена Комиссии (далее - Комиссия Коми УФАС России), рассмотрев жалобу общества с ограниченной ответственностью «АлькорФарм» (далее - ООО «АлькорФарм») от 21.01.2025 (вх. от 21.01.20205 № 532/25) на действия заказчика - государственного бюджетного учреждения здравоохранения Республики Коми «Сосногорская центральная районная больница» (далее - ГБУЗ РК «Сосногорская ЦРБ») при осуществлении закупки способом запроса котировок в электронной форме «Поставка лекарственных препаратов для медицинского применения», извещение № 0307300039625000003 (далее - жалоба),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рассмотрении жалобы посредством веб-видеоконференции: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-Тимирбулатова М.А., представителя ООО «АлькорФарм» по приказу от 05.07.2021,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423" w:right="536" w:bottom="1313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Республике Коми с использованием Единой информационной системы в сфере закупок поступила жалоба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«АлькорФарм» от 21.01.2025 (вх. от 21.01.20205 № 532/25) на действия заказчика - ГБУЗ РК «Сосногорская ЦРБ» при осуществлении закупки способом запроса котировок в электронной форме «Поставка лекарственных препаратов для медицинского применения», извещение № 0307300039625000003 (далее - закупка, запрос котировок в электронной форме).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обжалованы положения извещения о закупке, касающиеся описания объекта закупки, в части неустановления в описании объекта закупки возможности поставки лекарственного препарата с эквивалентной лекарственной формой, что не позволило заявителю подать заявку на участие в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подана в срок, установленный пунктом 1 части 2 статьи 105 Закона о контрактной системе. В связи с чем жалоба принята Коми УФАС России к рассмотрению.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«АлькорФарм» заявлено ходатайство от 22.01.2025 № 250122-2 (вх. от 22.01.2025 № 565-ЭП/24) о рассмотрении жалобы в формате веб-видеоконференции.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</w:t>
        <w:softHyphen/>
        <w:t>конференц-связи при наличии в контрольном органе в сфере закупок технической возможности осуществления видео-конференц-связи.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наличием технической возможности осуществления видео-конференцсвязи при рассмотрении жалобы и проведения внеплановой проверки, ходатайство ООО «АлькорФарм» удовлетворено.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«АлькорФарм», ГБУЗ РК «Сосногорская ЦРБ», акционерное общество «Сбербанк-АСТ» (оператор электронной площадки) о времени, дате, месте, формате рассмотрения жалобы надлежащим образом извещены.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«Сосногорская ЦРБ» в письме от 27.01.2025 № 448 (вх. от 27.01.2025 № 695-ЭП/25) указано, что законодательно установленная обязанность по указанию в описании объекта закупки эквивалентной лекарственной формы не исполнена по причине технической ошибки при подготовке извещения о закупке и размещении его в Единой информационной системе (далее - ЕИС), в связи с многочисленными сбоями в корректной работе ЕИС в январе 2025г.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Акционерное общество «Сбербанк-АСТ» письмами от 22.01.2025 (вх. от 22.01.2025 № 564-ЭП/25), от 28.01.2025 (вх. от 28.01.2025 № 711-ЭП/25) в материалы жалобы представлены заявки на участие в закупке со всеми документами в их составе, в том числе структурированные, сформированные с использованием электронной площадки путем заполнения экранных форм веб-интерфейса.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«Сосногорская ЦРБ» в письме от 27.01.2025 № 448 (вх. от 27.01.2025 № 695-ЭП/25) заявлено о рассмотрении жалобы в отсутствие представителей учреждения.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законодательно установленных сроков рассмотрения жалобы отсутствие представителей ГБУЗ РК «Сосногорская ЦРБ», оператора электронной площадки не препятствует рассмотрению жалобы и проведению внеплановой проверки.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Коми УФАС России в ходе проведения внеплановой проверки осуществления закупки на основании пункта 1 части 15 статьи 99 Закона 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изучив материалы жалобы, ознакомившись с извещением о закупке, электронными документами, содержащимися при указанном извещении, заявками участников закупки, представленными в материалы жалобы оператором электронной площадки, заслушав представителя ООО «АлькорФарм», пришла к нижеследующим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осуществления закупки способом запроса котировок в электронной форме явилось ГБУЗ РК «Сосногорская ЦРБ».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«Поставка лекарственных препаратов для медицинского применения».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144 817,20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закупке размещено на официальном сайте Единой информационной системы в сфере закупок \у\у\у./акирк1.доу.ги (далее - официальный сайт) 14.01.2025.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частей 1,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Одним из конкурентных способов определения поставщиков (подрядчиков, исполнителей) является, согласно пункту 3 части 2 статьи 24 Закона о контрактной системе, в том числе запрос котировок в электронной форме (далее - электронный запрос котировок).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24 Закона о контрактной системе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50 Закона о контрактной системе установлено, что электронный запрос котировок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утверждены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- Особенности описания лекарственных препаратов).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подпункте а) пункта 2, пункте 7 Особенностей описания лекарственных препаратов установлено, что при описании объекта закупки заказчики помимо сведений, предусмотренных пунктом 6 части 1 статьи 33 Федерального закона «О контрактной системе в сфере закупок товаров, работ, услуг для обеспечения государственных и муниципальных нужд», указывают, наряду с прочим,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описании лекарственных препаратов, не включенных в перечень лекарственных средств, закупка которых осуществляется в соответствии с их торговыми наименованиями, в описании объекта закупки используется информация о взаимозаменяемости лекарственных препаратов для медицинского применения, содержащаяся в перечне взаимозаменяемых лекарственных препаратов, размещенном на официальном сайте Министерства здравоохранения Российской Федерации в информационно</w:t>
        <w:softHyphen/>
        <w:t>телекоммуникационной сети «Интернет».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запроса котировок в электронной форме в разделе «объект закупки» содержит следующее описание объекта закупки: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-объект закупки - лекарственный препарат с международным непатентованным (химическим, группировочным) наименованием «омепразол»,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-включен в перечень жизненно-необходимых и важнейших лекарственных препаратов - да,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-закупка осуществляется по торговому наименованию - нет.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4747" w:val="left"/>
          <w:tab w:pos="882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Основной Международное</w:t>
        <w:tab/>
        <w:t>Лекарственная форма</w:t>
        <w:tab/>
        <w:t>Дозировка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вариант непатентованное (химическое, поставки группировочное)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или торговое наименование лекарственного препарата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310" w:val="left"/>
          <w:tab w:pos="474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</w:t>
        <w:tab/>
        <w:t>омепразол</w:t>
        <w:tab/>
        <w:t>лиофилизат для приготовления 40 мг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раствора для внутривенного введения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Единого структурированного справочника - каталога лекарственных препаратов (ЕСКЛП), размещенного на официальном сайте Министерства здравоохранения Российской Федерации в информационно-телекоммуникационной сети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«Интернет», для лекарственного препарата с МНН «омепразол», основная дозировка 40 мг, эквивалентными лекарственными формами являются: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-лиофилизат для приготовления раствора для инфузий, 40 мг,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-лиофилизат для приготовления раствора для внутривенного введения, 40 мг.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Бездействие заказчика - ГБУЗ РК «Сосногорская ЦРБ» в части неуказания при формировании и размещении на официальном сайте ЕИС извещения о закупке в описании объекта закупки эквивалентной лекарственной формы закупаемого лекарственного препарата не соответствует требованиям пункта 1 части 2 статьи 42, части 5 статьи 33 Закона о контрактной системе, подпункту а) пункта 2, пункту 7 Особенностей описания лекарственных препаратов.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указанное нарушение привело к невозможности подачи заявителем заявки на участие в закупке, поскольку при попытке сформировать на электронной торговой площадке АО «Сбербанк-АСТ» структурированную заявку на участие в закупке, заявитель столкнулся с невозможностью выбрать из справочника иной (альтернативный) вариант поставки лекарственного препарата (с эквивалентной лекарственной формой), при этом скорректировать вручную необходимую лекарственную форму и дозировку невозможно (в подтверждение приложено соответствующее видео).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«Сосногорская ЦРБ» в письме от 27.01.2025 № 448 (вх. от 27.01.2025 № 695-ЭП/25) указало, что при рассмотрении заявок участников, поданных на участие в данной закупке, выявлены предложения товара с эквивалентной лекарственной формой, что может свидетельствовать о том, что у участников закупки имелась техническая возможность в редактировании предлагаемой лекарственной формы лекарственного препарата, соответственно, довод заявителя о нарушении его права и законных интересов действиями заказчика необоснован.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Коми УФАС России при рассмотрении указанных доводов заявителя, заказчика,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на дату и время рассмотрения жалобы и проведения внеплановой проверки на электронной площадке, официальном сайте ЕИС не размещен.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по результатам рассмотрения представленных в материалы жалобы оператором электронной площадки заявок на участие в закупке, в том числе структурированных, сформированных с использованием электронной площадки путем заполнения экранных форм веб-интерфейса, установлено, что на участие в закупке подано три заявки, при этом при заполнении экранных форм веб-интерфейса на электронной площадке все три участника указали лекарственную форму предлагаемого к поставке товара в соответствии с извещением о закупке (лиофилизат для приготовления раствора для внутривенного введения), тогда как в составе двух заявок приложены документы, свидетельствующие о том, что к поставке предложен лекарственный препарат с эквивалентной лекарственной формой «лиофилизат для приготовления раствора для инфузий».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относительно того, что неуказание при формировании и размещении на официальном сайте ЕИС извещения о закупке в описании объекта закупки эквивалентной лекарственной формы закупаемого лекарственного препарата привело к невозможности участия в закупке при намерении предложить лекарственный препарат с эквивалентной лекарственной формой, подтверждается материалами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Коми УФАС России при рассмотрении вопроса относительно необходимости выдачи предписания об устранении допущенного заказчиком - ГБУЗ РК «Сосногорская ЦРБ» нарушения пункта 1 части 2 статьи 42, части 5 статьи 33 Закона о контрактной системе, подпункта а) пункта 2, пункта 7 Особенностей описания лекарственных препаратов, учитывая стадию закупки, характер установленного нарушения, а также то, что установленное нарушение могло повлиять на результат закупки, считает необходимым выдать предписание об устранении указанных нарушений посредством аннулирования определения поставщика.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всех вышеизложенных обстоятельств, руководствуясь статьей 99, частью 8 статьи 106 Закона о контрактной системе, Комиссия Коми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бездействие заказчика - ГБУЗ РК «Сосногорская ЦРБ» в части неуказания при формировании и размещении на официальном сайте ЕИС извещения о закупке в описании объекта закупки эквивалентной лекарственной формы закупаемого лекарственного препарата не соответствующим требованиям пункта 1 части 2 статьи 42, части 5 статьи 33 Закона о контрактной системе, подпункту а) пункта 2, пункту 7 Особенностей описания лекарственных препаратов.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стадии закупки, характера установленного нарушения законодательства о контрактной системе, того, что установленное нарушение могло повлиять на результат закупки, выдать заказчику - ГБУЗ РК «Сосногорская ЦРБ» предписание об устранении указанных нарушений посредством аннулирования определения поставщика.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Коми УФАС России для рассмотрения вопроса о возбуждении административного дела в отношении должностного лица заказчика, допустившего установленное нарушение законодательства о контрактной системе.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5" w:right="537" w:bottom="131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72440" distB="20955" distL="0" distR="0" simplePos="0" relativeHeight="125829385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472440</wp:posOffset>
                </wp:positionV>
                <wp:extent cx="170053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5pt;margin-top:37.200000000000003pt;width:133.90000000000001pt;height:18.5pt;z-index:-125829368;mso-wrap-distance-left:0;mso-wrap-distance-top:37.200000000000003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1000" distB="0" distL="0" distR="1816735" simplePos="0" relativeHeight="125829387" behindDoc="0" locked="0" layoutInCell="1" allowOverlap="1">
            <wp:simplePos x="0" y="0"/>
            <wp:positionH relativeFrom="page">
              <wp:posOffset>2693670</wp:posOffset>
            </wp:positionH>
            <wp:positionV relativeFrom="paragraph">
              <wp:posOffset>381000</wp:posOffset>
            </wp:positionV>
            <wp:extent cx="292735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445135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34999999999999pt;margin-top:35.050000000000004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72440" distB="20955" distL="0" distR="0" simplePos="0" relativeHeight="125829388" behindDoc="0" locked="0" layoutInCell="1" allowOverlap="1">
                <wp:simplePos x="0" y="0"/>
                <wp:positionH relativeFrom="page">
                  <wp:posOffset>6220460</wp:posOffset>
                </wp:positionH>
                <wp:positionV relativeFrom="paragraph">
                  <wp:posOffset>472440</wp:posOffset>
                </wp:positionV>
                <wp:extent cx="97536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9.80000000000001pt;margin-top:37.200000000000003pt;width:76.799999999999997pt;height:18.5pt;z-index:-125829365;mso-wrap-distance-left:0;mso-wrap-distance-top:37.200000000000003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E5E5E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5E5E5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Дейберт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47ВЕ956094А2653С447Е267327825004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10.06.2024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03.09.2025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drawing>
          <wp:anchor distT="0" distB="0" distL="114300" distR="1912620" simplePos="0" relativeHeight="125829390" behindDoc="0" locked="0" layoutInCell="1" allowOverlap="1">
            <wp:simplePos x="0" y="0"/>
            <wp:positionH relativeFrom="page">
              <wp:posOffset>2675255</wp:posOffset>
            </wp:positionH>
            <wp:positionV relativeFrom="paragraph">
              <wp:posOffset>520700</wp:posOffset>
            </wp:positionV>
            <wp:extent cx="328930" cy="3841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2893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603250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34999999999999pt;margin-top:47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Оверина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Оверина Анна Владимировна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008А5031677Е920А65Е043ЕАЕ50626607А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2693670</wp:posOffset>
            </wp:positionH>
            <wp:positionV relativeFrom="paragraph">
              <wp:posOffset>673100</wp:posOffset>
            </wp:positionV>
            <wp:extent cx="292735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737235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34999999999999pt;margin-top:58.050000000000004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Н.В. Сандул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Сандул Наталия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1ЕА062122Р04159СЕ8А72000А5485082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10018395</wp:posOffset>
              </wp:positionV>
              <wp:extent cx="5727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88.85000000000002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758190</wp:posOffset>
              </wp:positionV>
              <wp:extent cx="673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94999999999999pt;margin-top:59.700000000000003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Основной текст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6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0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header" Target="header1.xml"/><Relationship Id="rId13" Type="http://schemas.openxmlformats.org/officeDocument/2006/relationships/footer" Target="footer2.xm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</dc:title>
  <dc:subject/>
  <dc:creator/>
  <cp:keywords/>
</cp:coreProperties>
</file>