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50800" distB="810895" distL="196850" distR="193675" simplePos="0" relativeHeight="125829378" behindDoc="0" locked="0" layoutInCell="1" allowOverlap="1">
                <wp:simplePos x="0" y="0"/>
                <wp:positionH relativeFrom="page">
                  <wp:posOffset>809625</wp:posOffset>
                </wp:positionH>
                <wp:positionV relativeFrom="paragraph">
                  <wp:posOffset>469265</wp:posOffset>
                </wp:positionV>
                <wp:extent cx="2432050" cy="141097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2050" cy="1410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28.01.2025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3059/25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3.75pt;margin-top:36.950000000000003pt;width:191.5pt;height:111.10000000000001pt;z-index:-125829375;mso-wrap-distance-left:15.5pt;mso-wrap-distance-top:4.pt;mso-wrap-distance-right:15.25pt;mso-wrap-distance-bottom:63.8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28.01.2025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3059/25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74800" distB="0" distL="114300" distR="114300" simplePos="0" relativeHeight="125829380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1993265</wp:posOffset>
            </wp:positionV>
            <wp:extent cx="2597150" cy="70104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ГАУЗ «СП № 12 ДЗМ»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8р12дхт@тай.ги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«ТЕХНОЦЕНТР»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1еЪпосеп1г06@тай.:ги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2634" w:bottom="621" w:left="1601" w:header="0" w:footer="3" w:gutter="0"/>
          <w:cols w:num="2" w:space="720" w:equalWidth="0">
            <w:col w:w="3221" w:space="1584"/>
            <w:col w:w="2861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ко@го8екогд.гн</w:t>
      </w:r>
    </w:p>
    <w:p>
      <w:pPr>
        <w:widowControl w:val="0"/>
        <w:spacing w:line="26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4" w:right="0" w:bottom="94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 077/06/106-776/2025 о нарушении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27.01.2025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 ГАУЗ «СП № 12 ДЗМ»: Т.К. Аляутдинова (дов. № 55 от 24.01.2025),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«ТЕХНОЦЕНТР»,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«ТЕХНОЦЕНТР» (далее — Заявитель) на действия ГАУЗ «СП № 12 ДЗМ» (далее — Заказчик) при проведении закупки товара у единственного поставщика (Закупка № 0373200108725000002) (далее — закупка, закупочная процедура),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вышеуказанной закупочной процедуры.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Заказчиком нарушены нормы Закона о контрактной системе в результате отклонения заявки Заявителя.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от 21.01.2025 №ИЗТ1 заявка участника закупки ООО «ТЕХНОЦЕНТР», с идентификационным номером 1472729, отклонена на следующем основании: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Отклонить заявку на участие в закупке по п.5 ч.12 ст.48 №44-ФЗ «Непредставление информации и документов, предусмотренных п. 5 ч. 1 ст. 43 Закона № 44 ФЗ, если такие документы предусмотрены нормативными правовыми актами, принятыми в соответствии с ч. 3 ст. 14 Закона 44-ФЗ» Не представлены документы согласно п. 4.1. Тех задания (а именно: нет рег удостоверений для подтверждения качества товара)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ст.93 Закона о контрактной системе в случаях, предусмотренных пп.4 - 5.2 ч.1 ст.93 Закона о контрактной системе, закупка товара на сумму, не превышающую пяти миллионов рублей, может осуществляться в электронной форме с использованием электронной площадки.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ч.12 ст.93 Закона о контрактной системе в целях участия в проводимых на электронной площадке закупках, предусмотренных настоящей частью, участники закупки вправе сформировать на электронной площадке, подписать усиленной электронной подписью и разместить на такой электронной площадке предварительное предложение о поставке товаров (далее - предварительное предложение).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ч.12 ст.93 Закона о контрактной системе заказчик формирует с использованием единой информационной системы, подписывает усиленной электронной подписью и размещает в единой информационной системе извещение об осуществлении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пп.«в» п.5ч.12 ст.93 Закона о контрактной системе в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п.8 ч.12 ст.93 Закона о контрактной системе с использованием электронной площадки направляет заказчику заявки на участие в закупке (с указанием присвоенных в соответствии с пп.«б» п.5ч.12 ст.93 Закона о контрактной системе порядковых номеров), предусмотренные пп.«а» п.5ч.12 ст.93 Закона о контрактной системе и содержащие информацию и документы, предусмотренные пп.«а» - «е» и «к» п.1 ч.12 ст.93 Закона о контрактной системе, п.2 ч.6 ст.43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п.6 ч.12 ст.93 Закона о контрактной системе не позднее одного рабочего дня со дня, следующего за днем получения информации и документов, предусмотренных пп.«в» п.5 ч.12 ст.93 Закона о контрактной системе, заказчик: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принимает в отношении каждой заявки решение о соответствии заявки на участие в закупке требованиям, установленным в извещении об осуществлении закупки, или решение об отклонении заявки на участие в закупке в случае непредставления информации и документов, предусмотренных пп.«в» п.5 ч.12 ст.93 Закона о контрактной системе, несоответствия таких информации и документов требованиям, установленным в извещении об осуществлении закупки, либо в случаях, предусмотренных п.3 - п.6, п.8 ч.12 ст.48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решений, предусмотренных пп.«а» п.6 ч.12 ст.93 Закона о контрактной системе, присваивает каждой заявке на участие в закупке, которая не отклонена, порядковый номер в порядке возрастания цены за единицу товара, предусмотренной пп.«е» п.1 ч.12 ст.93 Закона о контрактной системе, с учетом положений нормативных правовых актов, принятых в соответствии со ст.14 Закона о контрактной системе. Первый порядковый номер присваивается заявке на участие в закупке, содержащей наименьшую цену за единицу товара, или являющейся единственной заявкой, которая не отклонена в соответствии с пп.«а» п.6 ч.12 ст.93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формирует с использованием электронной площадки протокол подведения итогов определения поставщика, подписывает его усиленной электронной подписью лица, имеющего право действовать от имени заказчика, и направляет оператору электронной площадки, который в течение одного часа с момента получения такого протокола размещает его в единой информационной системе и на электронной площадке, а также размещает в единой информационной системе (без размещения на официальном сайте) информацию, указанную в пп.«а» и «е» п.1 ч.1 ст.43 Закона о контрактной системе, идентификационные номера заявок и номера реестровых записей участников закупки, заявки которых направлены заказчику в соответствии с пп.«в» п.5 ч.12 ст.93 Закона о контрактной системе. Такой протокол должен содержать дату подведения итогов, идентификационные номера заявок и информацию о решениях, предусмотренных пп.«а» п.6 ч.12 ст.93 Закона о контрактной системе, обоснование решения об отклонении заявки на участие в закупке (в случае принятия такого решения), содержащее указание на положения заявки на участие в закупке, а также положения Закона о контрактной системе, извещения об осуществлении закупки, которым не соответствует такая заявка, а также информацию, предусмотренную пп.«б» п.6 ч.12 ст.93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1" w:val="left"/>
        </w:tabs>
        <w:bidi w:val="0"/>
        <w:spacing w:before="0" w:after="0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4" w:right="529" w:bottom="944" w:left="109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Законом 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3 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ст.31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 непредставления информации и документов, предусмотренных п.5 ч.1 ст.43 Закона о контрактной системе);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п.5 ч.1 ст.43 Закона о контрактной системе,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6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п.4 ст.2 Федерального закона от 4 июня 2018 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Заявителя содержатся сведения о предлагаемом к поставке товаре «Шприц общего назначения» со страной происхождения товара: Китайская Народная Республика.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70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55" w:bottom="644" w:left="1106" w:header="0" w:footer="216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2025-3559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заявка ООО «ТЕХНОЦЕНТР» отклонена неправомерно по непредусмотренным Законом о контрактной системе основаниям.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 соответствии с пунктом 6 Правил государственной регистрации медицинских изделий, утвержденных постановлением Правительства Российской Федерации от 27 декабря 2012 г. № 1416, документом, подтверждающим факт государственной регистрации медицинского изделия, является регистрационное удостоверение на медицинское изделие.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2 статьи 456 Гражданского кодекса Российской Федерации (далее - ГК РФ), если иное не предусмотрено договором купли-продажи, продавец обязан одновременно с передачей вещи передать покупателю ее принадлежности, а также относящиеся к ней документы (технический паспорт, сертификат качества, инструкцию по эксплуатации и т.п.), предусмотренные законом, иными правовыми актами или договором.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2 статьи 455 ГК РФ договор может быть заключен на куплю-продажу товара, имеющегося в наличии у продавца в момент заключения договора, а также товара, который будет создан или приобретен продавцом в будущем, если иное не установлено законом или не вытекает из характера товара.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указанные нормы ГК РФ не обязывают заказчика требовать регистрационное удостоверение на изделия медицинского назначения, медицинское оборудование только одновременно с передачей товара.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представитель Заказчика добавил, что требование о необходимости предоставления копии регистрационного удостоверения или его реквизитов содержалось непосредственно в извещении о проведении закупки, в пункте 4.1 Технического задания, которое является приложением к контракту и неотъемлемой частью извещения, согласно которому соответствие товара требованиям безопасности подлежит обязательному подтверждению в порядке, предусмотренном законодательством Российской Федерации и требованиями актов, указанных в разделе 6 настоящего Технического задания. Соответствие качества и безопасности товара должно быть подтверждено следующими документами: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сертификатом соответствия и/или декларацией о соответствии (для продукции, включенной в перечень продукции, подлежащей обязательной сертификации и/или подтверждение соответствия которой осуществляется в форме принятия декларации о соответствии);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регистрационным удостоверением в соответствии с требованиями акта, указанного в пункте 6.3 настоящего Технического задания.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 Комиссия Управления отмечает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ч.12 ст.93 Закона о контрактной системе в случаях, предусмотренных пунктами 4 - 5.2 части 1 ст.93 Закона о контрактной системе, закупка товара на сумму, не превышающую пяти миллионов рублей, может осуществляться в электронной форме с использованием электронной площадки. Годовой объем закупок, осуществляемых в таком порядке, не должен превышать сто миллионов рублей. Закупка товара в соответствии с настоящей частью осуществляется в следующем порядке: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целях участия в проводимых на электронной площадке закупках, предусмотренных настоящей частью, участники закупки вправе сформировать на электронной площадке, подписать усиленной электронной подписью и разместить на такой электронной площадке предварительное предложение о поставке товаров (далее - предварительное предложение), содержащее в отношении каждого товара, предлагаемого таким участником закупки к поставкам: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 и его характеристики с использованием каталога товаров, работ, услуг для обеспечения государственных и муниципальных нужд;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4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товарный знак (при наличии);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4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 (или его копия), подтверждающий страну происхождения товара (в случае, если такой документ в отношении соответствующего товара предусмотрен нормативными правовыми актами, принятыми в соответствии с частями 3 и 4 статьи 14 настоящего Федерального закона). В случае отсутствия такого документа (или его копии) такой товар приравнивается к товару, происходящему из иностранного государства или группы иностранных государств;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единица измерения товара по общероссийскому классификатору, используемому для количественной оценки технико-экономических и социальных показателей;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(цены) единицы товара с учетом стоимости доставки, налогов, сборов и иных обязательных платежей, предусмотренных подпунктами "ж" и "з" настоящего пункта количества товара, предлагаемого участником закупки к поставкам, и субъекта (субъектов) Российской Федерации, муниципального (муниципальных) района (районов), муниципального (муниципальных) округа (округов) или городского (городских) округа (округов), в пределах территории (территорий) которого (которых) участник закупки предлагает товар к поставкам;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09" w:val="left"/>
        </w:tabs>
        <w:bidi w:val="0"/>
        <w:spacing w:before="0" w:after="0" w:line="293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минимальное и (или) максимальное количество товара, предлагаемое участником закупки к поставкам. При этом такое количество товара может быть указано с учетом предусмотренных подпунктом «з» настоящего пункта субъекта (субъектов) Российской Федерации, муниципального (муниципальных) района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2025-3559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(районов), муниципального (муниципальных) округа (округов) или городского (городских) округа (округов), в пределах территории (территорий) которого (которых) участник закупки предлагает товар к поставкам;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субъекта (субъектов) Российской Федерации, муниципального (муниципальных) района (районов), муниципального (муниципальных) округа (округов) или городского (городских) округа (округов) по общероссийскому (общероссийским) классификатору (классификаторам), используемому (используемым) для сопоставимости и автоматизированной обработки информации в разрезах административно-территориального деления, систематизации и однозначной идентификации на всей территории Российской Федерации муниципальных образований и населенных пунктов, входящих в их состав, в пределах территории (территорий) которого (которых) участник закупки предлагает товар к поставкам;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 действия предварительного предложения, который не может составлять более одного месяца с даты его размещения на электронной площадке. Участник закупки вправе продлить срок действия предварительного предложения или отозвать его в любой момент до направления оператором электронной площадки заявки заказчику в соответствии с подпунктом "в" пункта 5 настоящей части;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информацию и документы, предусмотренные подпунктами "н" - "п" пункта 1 части 1 статьи 43 настоящего Федерального закона;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минимальный (минимальные) срок (сроки) и (или) максимальный (максимальные) срок (сроки) поставки товара с учетом предусмотренных подпунктами "ж" и "з" настоящего пункта количества товара, предлагаемого участником закупки к поставкам, и субъекта (субъектов) Российской Федерации, муниципального (муниципальных) района (районов), муниципального (муниципальных) округа (округов) или городского (городских) округа (округов), в пределах территории (территорий) которого (которых) участник закупки предлагает товар к поставкам. Предусмотренные настоящим подпунктом сроки поставки товара исчисляются календарными днями и указываются в предварительном предложении в календарных днях. При этом неуказание в соответствии с настоящим подпунктом минимального (минимальных) или максимального (максимальных) срока (сроков) означает согласие участника закупки со сроком поставки товара, предусмотренным в извещении об осуществлении закупки в соответствии с подпунктом "в" пункта 3 настоящей части.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658" w:left="1106" w:header="0" w:footer="230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Вместе с тем Комиссия Управления отмечает, что в соответствии с пп. «в» п.5 ч.12 ст.93 Закона о контрактной системе в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п.8 ч.12 ст.93 Закона о контрактной системе с использованием электронной площадки направляет заказчику заявки на участие в закупке (с указанием присвоенных в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2025-3559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соответствии с пп.«б» п.5 ч.12 ст.93 Закона о контрактной системе порядковых номеров), предусмотренные подпунктом «а» п.5 ч.12 ст.93 Закона о контрактной системе и содержащие информацию и документы, предусмотренные подпунктами «а» - «е» и «к» п.1 ч.12 ст.93 Закона о контрактной системе, п.2 ч.6 ст.43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отмечает, что извещение об осуществлении закупки, а также ст.93 Закона о контрактной системе, регламентирующая, в том числе состав заявки, не содержат требований о предоставлении регистрационного удостоверения на медицинское изделие с приложениями, выданного Федеральной службой по надзору в сфере здравоохранения Российской Федерации, то есть документа, подтверждающего соответствие товара требованиям, установленным в соответствии с законодательством Российской Федерации, ввиду чего комиссией Заказчика неправомерно отклонена заявка Заявителя.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очередь, требование о предоставлении документа, подтверждающего соответствие товара требованиям, установленным в соответствии с законодательством Российской Федерации, регламентировано пп. «в» п.2 ч.1 ст.43 Закона о контрактной системе, при этом у участника закупки для участия в рассматриваемой процедуре, с учетом положений п.1 ч.12 ст.93 Закона о контрактной системе, отсутствует обязанность по предоставлению такого документа в составе заявки.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Комиссия Управления также отмечает, что при отклонении заявки Заявителя Заказчиком применена норма п.5 ч.12 ст.48 Закона о контрактной системе, которая предназначена для отклонения заявок в случае установления запрета на закупку товара, происходящего из иностранного государства в соответствии с положениями ст.14 Закона о контрактной системе, и непредоставлении в составе заявки документа, предусмотренного п.5 ч.1 ст.43 Закона о контрактной системе, обязанность предоставления которого также предусмотрена пп. «г» п.1 ч.12 ст.93 Закона о контрактной системе, при этом в данной закупке запрет на закупку товара, происходящего из иностранного государства, не установлен.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регистрационное удостоверение на медицинское изделие не является документов, предусмотренным п.5 ч.1 ст.43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1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 Комиссия Управления приходит к выводу, о нарушении Заказчиком пп.«а» п.6 ч.12 ст.93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ч.2</w:t>
        <w:tab/>
        <w:t>ст.7.30 Кодекса Российской Федерации об административных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9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«ТЕХНОЦЕНТР» на действия ГАУЗ «СП № 12 ДЗМ» 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6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нарушения пп.«а» п.6 ч.12 ст.93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69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69" w:val="left"/>
        </w:tabs>
        <w:bidi w:val="0"/>
        <w:spacing w:before="0" w:after="32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162" w:right="531" w:bottom="1176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216535" distL="0" distR="0" simplePos="0" relativeHeight="125829381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139700</wp:posOffset>
                </wp:positionV>
                <wp:extent cx="185039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7.75pt;margin-top:11.pt;width:145.70000000000002pt;height:19.900000000000002pt;z-index:-125829372;mso-wrap-distance-left:0;mso-wrap-distance-top:11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2725" distB="0" distL="0" distR="1789430" simplePos="0" relativeHeight="125829383" behindDoc="0" locked="0" layoutInCell="1" allowOverlap="1">
            <wp:simplePos x="0" y="0"/>
            <wp:positionH relativeFrom="page">
              <wp:posOffset>3104515</wp:posOffset>
            </wp:positionH>
            <wp:positionV relativeFrom="paragraph">
              <wp:posOffset>212725</wp:posOffset>
            </wp:positionV>
            <wp:extent cx="353695" cy="39624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304165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35000000000002pt;margin-top:23.94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216535" distL="0" distR="0" simplePos="0" relativeHeight="125829384" behindDoc="0" locked="0" layoutInCell="1" allowOverlap="1">
                <wp:simplePos x="0" y="0"/>
                <wp:positionH relativeFrom="page">
                  <wp:posOffset>6182995</wp:posOffset>
                </wp:positionH>
                <wp:positionV relativeFrom="paragraph">
                  <wp:posOffset>139700</wp:posOffset>
                </wp:positionV>
                <wp:extent cx="1029970" cy="2527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86.85000000000002pt;margin-top:11.pt;width:81.100000000000009pt;height:19.900000000000002pt;z-index:-125829369;mso-wrap-distance-left:0;mso-wrap-distance-top:11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4520" w:right="0" w:firstLine="0"/>
        <w:jc w:val="left"/>
      </w:pPr>
      <w:r>
        <w:rPr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000590946031СЕ073ВЕ5С506ЕЕ7501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3695" cy="40259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40000000000003pt;margin-top:12.200000000000001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45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880"/>
        <w:jc w:val="left"/>
      </w:pPr>
      <w:r>
        <w:drawing>
          <wp:anchor distT="0" distB="0" distL="114300" distR="1921510" simplePos="0" relativeHeight="125829387" behindDoc="0" locked="0" layoutInCell="1" allowOverlap="1">
            <wp:simplePos x="0" y="0"/>
            <wp:positionH relativeFrom="page">
              <wp:posOffset>3129280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149225</wp:posOffset>
                </wp:positionV>
                <wp:extent cx="1725295" cy="2559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77.35000000000002pt;margin-top:11.7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</w:pPr>
      <w:r>
        <w:rPr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009ЕС1900А00830С593ЕЕ489Е44Е6А415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32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21.01.2025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16.04.2026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98" w:right="527" w:bottom="149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10131425</wp:posOffset>
              </wp:positionV>
              <wp:extent cx="6464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2025-3559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050000000000004pt;margin-top:797.75pt;width:50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2025-3559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2025-3559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1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2025-3559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10131425</wp:posOffset>
              </wp:positionV>
              <wp:extent cx="64643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2025-3559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050000000000004pt;margin-top:797.75pt;width:50.899999999999999pt;height:7.9000000000000004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2025-3559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7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10131425</wp:posOffset>
              </wp:positionV>
              <wp:extent cx="646430" cy="10033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2025-3559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7.050000000000004pt;margin-top:797.75pt;width:50.899999999999999pt;height:7.9000000000000004pt;z-index:-1887440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2025-3559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05000000000001pt;margin-top:37.5pt;width:5.04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985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pt;margin-top:37.5pt;width:5.5pt;height:8.15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05000000000001pt;margin-top:37.5pt;width:5.0499999999999998pt;height:8.1500000000000004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9850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9.pt;margin-top:37.5pt;width:5.5pt;height:8.1500000000000004pt;z-index:-1887440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309.05000000000001pt;margin-top:37.5pt;width:5.0499999999999998pt;height:8.1500000000000004pt;z-index:-1887440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3E3E3E"/>
      <w:sz w:val="12"/>
      <w:szCs w:val="12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spacing w:after="40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E3E3E"/>
      <w:sz w:val="12"/>
      <w:szCs w:val="12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header" Target="header6.xml"/><Relationship Id="rId20" Type="http://schemas.openxmlformats.org/officeDocument/2006/relationships/footer" Target="footer6.xml"/><Relationship Id="rId21" Type="http://schemas.openxmlformats.org/officeDocument/2006/relationships/image" Target="media/image3.jpeg"/><Relationship Id="rId22" Type="http://schemas.openxmlformats.org/officeDocument/2006/relationships/image" Target="media/image3.jpeg" TargetMode="External"/><Relationship Id="rId23" Type="http://schemas.openxmlformats.org/officeDocument/2006/relationships/image" Target="media/image4.jpeg"/><Relationship Id="rId24" Type="http://schemas.openxmlformats.org/officeDocument/2006/relationships/image" Target="media/image4.jpeg" TargetMode="External"/><Relationship Id="rId25" Type="http://schemas.openxmlformats.org/officeDocument/2006/relationships/image" Target="media/image5.jpeg"/><Relationship Id="rId26" Type="http://schemas.openxmlformats.org/officeDocument/2006/relationships/image" Target="media/image5.jpeg" TargetMode="External"/></Relationships>
</file>