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1о34@Га8.§оу.ги</w:t>
      </w:r>
    </w:p>
    <w:p>
      <w:pPr>
        <w:pStyle w:val="Style8"/>
        <w:keepNext w:val="0"/>
        <w:keepLines w:val="0"/>
        <w:widowControl w:val="0"/>
        <w:shd w:val="clear" w:color="auto" w:fill="auto"/>
        <w:tabs>
          <w:tab w:leader="underscore" w:pos="1762" w:val="left"/>
          <w:tab w:leader="underscore" w:pos="3931" w:val="left"/>
        </w:tabs>
        <w:bidi w:val="0"/>
        <w:spacing w:before="0" w:after="260"/>
        <w:ind w:left="0" w:right="0" w:firstLine="0"/>
        <w:jc w:val="center"/>
      </w:pPr>
      <w:r>
        <w:rPr>
          <w:b w:val="0"/>
          <w:bCs w:val="0"/>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ГУП "Волгофарм"</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Аптечный проезд, д. 1, Волгоград, 400075</w:t>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V</w:t>
      </w:r>
      <w:r>
        <w:rPr>
          <w:color w:val="000000"/>
          <w:spacing w:val="0"/>
          <w:w w:val="100"/>
          <w:position w:val="0"/>
          <w:sz w:val="28"/>
          <w:szCs w:val="28"/>
          <w:shd w:val="clear" w:color="auto" w:fill="auto"/>
          <w:vertAlign w:val="superscript"/>
          <w:lang w:val="ru-RU" w:eastAsia="ru-RU" w:bidi="ru-RU"/>
        </w:rPr>
        <w:t>?</w:t>
      </w:r>
      <w:r>
        <w:rPr>
          <w:color w:val="000000"/>
          <w:spacing w:val="0"/>
          <w:w w:val="100"/>
          <w:position w:val="0"/>
          <w:sz w:val="28"/>
          <w:szCs w:val="28"/>
          <w:shd w:val="clear" w:color="auto" w:fill="auto"/>
          <w:lang w:val="ru-RU" w:eastAsia="ru-RU" w:bidi="ru-RU"/>
        </w:rPr>
        <w:t>1@Vо1до^а^т .ги</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"Спитэк"</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Дачная, д. 24, офис 10, Самара, 443013</w:t>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8рйек2022@тай.ги</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ЭТП Фабрикант</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Тестовская, д.10, Москва, 123112</w:t>
      </w:r>
    </w:p>
    <w:p>
      <w:pPr>
        <w:pStyle w:val="Style13"/>
        <w:keepNext w:val="0"/>
        <w:keepLines w:val="0"/>
        <w:widowControl w:val="0"/>
        <w:shd w:val="clear" w:color="auto" w:fill="auto"/>
        <w:bidi w:val="0"/>
        <w:spacing w:before="0" w:after="0" w:line="240" w:lineRule="auto"/>
        <w:ind w:left="0" w:right="0" w:firstLine="0"/>
        <w:jc w:val="left"/>
        <w:rPr>
          <w:sz w:val="28"/>
          <w:szCs w:val="28"/>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1084" w:bottom="1217" w:left="1140" w:header="0" w:footer="3" w:gutter="0"/>
          <w:pgNumType w:start="1"/>
          <w:cols w:num="2" w:space="854"/>
          <w:noEndnote/>
          <w:titlePg/>
          <w:rtlGutter w:val="0"/>
          <w:docGrid w:linePitch="360"/>
        </w:sectPr>
      </w:pPr>
      <w:r>
        <w:rPr>
          <w:color w:val="000000"/>
          <w:spacing w:val="0"/>
          <w:w w:val="100"/>
          <w:position w:val="0"/>
          <w:sz w:val="28"/>
          <w:szCs w:val="28"/>
          <w:shd w:val="clear" w:color="auto" w:fill="auto"/>
          <w:lang w:val="ru-RU" w:eastAsia="ru-RU" w:bidi="ru-RU"/>
        </w:rPr>
        <w:t>аиШ1ог8@е!р/.ги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79" w:right="0" w:bottom="821" w:left="0" w:header="0" w:footer="3" w:gutter="0"/>
          <w:cols w:space="720"/>
          <w:noEndnote/>
          <w:rtlGutter w:val="0"/>
          <w:docGrid w:linePitch="360"/>
        </w:sectPr>
      </w:pPr>
    </w:p>
    <w:p>
      <w:pPr>
        <w:pStyle w:val="Style13"/>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РЕШЕНИЕ</w:t>
        <w:br/>
        <w:t>по делу № 034/06/105-55/2025</w:t>
        <w:br/>
        <w:t>о нарушении законодательства о контрактной системе</w:t>
      </w:r>
    </w:p>
    <w:p>
      <w:pPr>
        <w:pStyle w:val="Style13"/>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6417310</wp:posOffset>
                </wp:positionH>
                <wp:positionV relativeFrom="paragraph">
                  <wp:posOffset>12700</wp:posOffset>
                </wp:positionV>
                <wp:extent cx="758825" cy="234950"/>
                <wp:wrapSquare wrapText="left"/>
                <wp:docPr id="9" name="Shape 9"/>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5" type="#_x0000_t202" style="position:absolute;margin-left:505.30000000000001pt;margin-top:1.pt;width:59.75pt;height:18.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29 января 2025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 ГУП «Волгофарм»,</w:t>
      </w:r>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рассмотрев жалобу ООО «Спитэк» (далее - Заявитель) вх. № 574/25 от 22.01.2025 на положения извещения при проведении электронного аукциона «Поставка изделий медицинского назначения (перчатки смотровые/процедурные нитриловые, неопудренные, нестерильные (Лот З-61))» (номер извещения 0529200000325000002),</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официальном сайте \у\у\у./акиркгдоу.ги (далее - ЕИС) 14.01.2025 было размещено извещение о проведении электронного аукциона «Поставка изделий медицинского назначения (перчатки смотровые/процедурные нитриловые, неопудренные, нестерильные (Лот З-61))» (номер извещения 0529200000325000002, далее - Извещение). Заказчик - ГУП «Волгофарм» (далее - Заказчик). Начальная (максимальная) цена контракта - 31 000 000,00 рублей.</w:t>
      </w:r>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Согласно доводу жалобы, Заказчиком нарушены положения Закона о контрактной системе при установлении требований к объекту закупки. По мнению Заявителя, установленные в Извещении характеристики закупаемого товара ограничивают конкуренцию среди участников закупки.</w:t>
      </w:r>
    </w:p>
    <w:p>
      <w:pPr>
        <w:pStyle w:val="Style16"/>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260" w:line="240" w:lineRule="auto"/>
        <w:ind w:left="220" w:right="0" w:firstLine="700"/>
        <w:jc w:val="both"/>
      </w:pPr>
      <w:r>
        <w:rPr>
          <w:color w:val="000000"/>
          <w:spacing w:val="0"/>
          <w:w w:val="100"/>
          <w:position w:val="0"/>
          <w:shd w:val="clear" w:color="auto" w:fill="auto"/>
          <w:lang w:val="ru-RU" w:eastAsia="ru-RU" w:bidi="ru-RU"/>
        </w:rPr>
        <w:t>Довод Заявителя направлен на позицию 3 Печатной формы извещения - Перчатки смотровые/процедурные нитриловые, неопудренные, нестерильные, Идентификатор 171809436, а конкретно на характеристику:</w:t>
      </w:r>
    </w:p>
    <w:tbl>
      <w:tblPr>
        <w:tblOverlap w:val="never"/>
        <w:jc w:val="center"/>
        <w:tblLayout w:type="fixed"/>
      </w:tblPr>
      <w:tblGrid>
        <w:gridCol w:w="3230"/>
        <w:gridCol w:w="7061"/>
      </w:tblGrid>
      <w:tr>
        <w:trPr>
          <w:trHeight w:val="571"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Упаковка</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Гигиеническая, обеспечивает подачу перчаток по одной манжетой вперед</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 адрес Управления поступили письменные возражения Заказчика, в которых с доводом жалобы не согласился, просил признать ее необоснованной.</w:t>
      </w:r>
    </w:p>
    <w:p>
      <w:pPr>
        <w:pStyle w:val="Style13"/>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Комиссия установила следующее.</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Предметом закупки является поставка перчаток медицинских смотровых (КТРУ: 22.19.60.119-00000008).</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Вышеназванной позицией КТРУ не предусмотрено описание закупаемого товара, следовательно, описание объекта закупки осуществлялось Заказчиком в соответствии с требованиями ст. 33 Закона о контрактной системе.</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 соответствии с ч. 2 ст. 33 Закона о контрактной системе описание объекта закупки в соответствии с требованиями, указанными в части 1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 xml:space="preserve">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w:t>
      </w:r>
      <w:r>
        <w:rPr>
          <w:color w:val="000000"/>
          <w:spacing w:val="0"/>
          <w:w w:val="100"/>
          <w:position w:val="0"/>
          <w:shd w:val="clear" w:color="auto" w:fill="auto"/>
          <w:lang w:val="ru-RU" w:eastAsia="ru-RU" w:bidi="ru-RU"/>
        </w:rPr>
        <w:t>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УФАС установила, что в соответствии с пп. 1 и 2 ч. 1 ст.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Заказчиком исполнены требования, предусмотренные Законом о контрактной системе при описании объекта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Заказчиком представлены возражения следующего содержания: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возможность установления требований к упаковке перчаток вытекает из п. 2.4 Методических рекомендаций МР 3.5.1.0113-16 «Использование перчаток для профилактики инфекций, связанных с оказанием медицинской помощи, в медицинских организациях» (далее - Методические рекомендации): медицинские перчатки должны отвечать требованиям, обеспечивающим их защитные (барьерные) и потребительские свойства:</w:t>
      </w:r>
    </w:p>
    <w:p>
      <w:pPr>
        <w:pStyle w:val="Style13"/>
        <w:keepNext w:val="0"/>
        <w:keepLines w:val="0"/>
        <w:widowControl w:val="0"/>
        <w:numPr>
          <w:ilvl w:val="0"/>
          <w:numId w:val="1"/>
        </w:numPr>
        <w:shd w:val="clear" w:color="auto" w:fill="auto"/>
        <w:tabs>
          <w:tab w:pos="9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безопасность для здоровья пациента и медицинского персонала;</w:t>
      </w:r>
    </w:p>
    <w:p>
      <w:pPr>
        <w:pStyle w:val="Style13"/>
        <w:keepNext w:val="0"/>
        <w:keepLines w:val="0"/>
        <w:widowControl w:val="0"/>
        <w:numPr>
          <w:ilvl w:val="0"/>
          <w:numId w:val="1"/>
        </w:numPr>
        <w:shd w:val="clear" w:color="auto" w:fill="auto"/>
        <w:tabs>
          <w:tab w:pos="9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удобство / комфортность;</w:t>
      </w:r>
    </w:p>
    <w:p>
      <w:pPr>
        <w:pStyle w:val="Style13"/>
        <w:keepNext w:val="0"/>
        <w:keepLines w:val="0"/>
        <w:widowControl w:val="0"/>
        <w:numPr>
          <w:ilvl w:val="0"/>
          <w:numId w:val="1"/>
        </w:numPr>
        <w:shd w:val="clear" w:color="auto" w:fill="auto"/>
        <w:tabs>
          <w:tab w:pos="9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качественная упаковка и маркировка;</w:t>
      </w:r>
    </w:p>
    <w:p>
      <w:pPr>
        <w:pStyle w:val="Style13"/>
        <w:keepNext w:val="0"/>
        <w:keepLines w:val="0"/>
        <w:widowControl w:val="0"/>
        <w:numPr>
          <w:ilvl w:val="0"/>
          <w:numId w:val="1"/>
        </w:numPr>
        <w:shd w:val="clear" w:color="auto" w:fill="auto"/>
        <w:tabs>
          <w:tab w:pos="9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функциональность.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следует заметить, что соблюдение санитарно-эпидемиологического режима регламентирует СанПиН 3.3686-21 «Санитарно-эпидемиологические требования по профилактике инфекционных болезней», который действует с 1 сентября 2021 г. Согласно Постановления Главного государственного санитарного врача Российской Федерации № 4 от 28.01.2021 «Об утверждении санитарных правил и норм СанПиН 3.3686-21». При этом, указанные требования являются обязательными для исполнения и соблюдения Заказчиком.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данном СанПине прямо указано, что необходимо предпринимать все необходимые меры для предупреждения распространения микроорганизмов через изделия медицинского назначения.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Требуемая упаковка как раз и выполняет эти задачи, исключая контакт рук медицинского работника с рабочей поверхностью перчаток, тем самым предотвращая контаминацию рабочей поверхности перчатки и риск контактного пути распространения инфекции.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имеются научные исследования, подтверждающие снижение риска контаминации при использовании указанного типа упаковки.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частности, использование перчаток, упакованных в диспенсер, обеспечивающий подачу перчаток по одной имеет доказанные преимущества по предупреждению и защите от контаминации (непреднамеренное попадание бактерий и микроорганизмов на кожу рук, на поверхность перчаток) (стр. 136 Диссертации Ч. «Оптимизация технологий борьбы со стафиллококковыми инфекциями») (взято из каталога Высшей аттестационной комиссии Министерства науки и высшего образования РФ 11ир8:/Л'ак.ттоЬгпаик1.доу.П1/ас1уе11/178228, к отзыву прилагается):</w:t>
      </w:r>
    </w:p>
    <w:p>
      <w:pPr>
        <w:pStyle w:val="Style13"/>
        <w:keepNext w:val="0"/>
        <w:keepLines w:val="0"/>
        <w:widowControl w:val="0"/>
        <w:shd w:val="clear" w:color="auto" w:fill="auto"/>
        <w:bidi w:val="0"/>
        <w:spacing w:before="0" w:after="0" w:line="322" w:lineRule="auto"/>
        <w:ind w:left="920" w:right="0" w:firstLine="680"/>
        <w:jc w:val="both"/>
        <w:rPr>
          <w:sz w:val="24"/>
          <w:szCs w:val="24"/>
        </w:rPr>
      </w:pPr>
      <w:r>
        <w:rPr>
          <w:color w:val="4B444B"/>
          <w:spacing w:val="0"/>
          <w:w w:val="100"/>
          <w:position w:val="0"/>
          <w:sz w:val="24"/>
          <w:szCs w:val="24"/>
          <w:shd w:val="clear" w:color="auto" w:fill="auto"/>
          <w:lang w:val="ru-RU" w:eastAsia="ru-RU" w:bidi="ru-RU"/>
        </w:rPr>
        <w:t xml:space="preserve">Исследования укладок данных перчаток по предупреждению и защите от контаминации их в процессе эксплуатации доказали эффективность такого конструктивного решения. Экспериментальная оценка эффективности укладок 80 (опыт) проводилось в сравнении со стандартной укладкой смотровых перчаток (контроль). Сам эксперимент заключался в искусственной контаминации рук тест-штаммом </w:t>
      </w:r>
      <w:r>
        <w:rPr>
          <w:i/>
          <w:iCs/>
          <w:color w:val="4B444B"/>
          <w:spacing w:val="0"/>
          <w:w w:val="100"/>
          <w:position w:val="0"/>
          <w:sz w:val="24"/>
          <w:szCs w:val="24"/>
          <w:shd w:val="clear" w:color="auto" w:fill="auto"/>
          <w:lang w:val="ru-RU" w:eastAsia="ru-RU" w:bidi="ru-RU"/>
        </w:rPr>
        <w:t>З.аигеиз</w:t>
      </w:r>
      <w:r>
        <w:rPr>
          <w:color w:val="4B444B"/>
          <w:spacing w:val="0"/>
          <w:w w:val="100"/>
          <w:position w:val="0"/>
          <w:sz w:val="24"/>
          <w:szCs w:val="24"/>
          <w:shd w:val="clear" w:color="auto" w:fill="auto"/>
          <w:lang w:val="ru-RU" w:eastAsia="ru-RU" w:bidi="ru-RU"/>
        </w:rPr>
        <w:t xml:space="preserve"> (после предварительной обработки), с последующим извлечением перчаток искусственно контаминированными руками и забором смыва с края отверстия укладки. Рассчитывались риски, при этом использование укладок 80 расценивалось как воздействие профилактического фактора </w:t>
      </w:r>
      <w:r>
        <w:rPr>
          <w:color w:val="6D6D6D"/>
          <w:spacing w:val="0"/>
          <w:w w:val="100"/>
          <w:position w:val="0"/>
          <w:sz w:val="24"/>
          <w:szCs w:val="24"/>
          <w:shd w:val="clear" w:color="auto" w:fill="auto"/>
          <w:lang w:val="ru-RU" w:eastAsia="ru-RU" w:bidi="ru-RU"/>
        </w:rPr>
        <w:t xml:space="preserve">(Г+), </w:t>
      </w:r>
      <w:r>
        <w:rPr>
          <w:color w:val="4B444B"/>
          <w:spacing w:val="0"/>
          <w:w w:val="100"/>
          <w:position w:val="0"/>
          <w:sz w:val="24"/>
          <w:szCs w:val="24"/>
          <w:shd w:val="clear" w:color="auto" w:fill="auto"/>
          <w:lang w:val="ru-RU" w:eastAsia="ru-RU" w:bidi="ru-RU"/>
        </w:rPr>
        <w:t xml:space="preserve">использование стандартных укладок </w:t>
      </w:r>
      <w:r>
        <w:rPr>
          <w:color w:val="6D6D6D"/>
          <w:spacing w:val="0"/>
          <w:w w:val="100"/>
          <w:position w:val="0"/>
          <w:sz w:val="24"/>
          <w:szCs w:val="24"/>
          <w:shd w:val="clear" w:color="auto" w:fill="auto"/>
          <w:lang w:val="ru-RU" w:eastAsia="ru-RU" w:bidi="ru-RU"/>
        </w:rPr>
        <w:t xml:space="preserve">— </w:t>
      </w:r>
      <w:r>
        <w:rPr>
          <w:color w:val="4B444B"/>
          <w:spacing w:val="0"/>
          <w:w w:val="100"/>
          <w:position w:val="0"/>
          <w:sz w:val="24"/>
          <w:szCs w:val="24"/>
          <w:shd w:val="clear" w:color="auto" w:fill="auto"/>
          <w:lang w:val="ru-RU" w:eastAsia="ru-RU" w:bidi="ru-RU"/>
        </w:rPr>
        <w:t>как его отсутствие (Е-). Реальную контаминацию определяли по наличию или отсутствию роста культуры в смывах с края отверстия укладок</w:t>
      </w:r>
    </w:p>
    <w:p>
      <w:pPr>
        <w:pStyle w:val="Style13"/>
        <w:keepNext w:val="0"/>
        <w:keepLines w:val="0"/>
        <w:widowControl w:val="0"/>
        <w:shd w:val="clear" w:color="auto" w:fill="auto"/>
        <w:bidi w:val="0"/>
        <w:spacing w:before="0" w:after="420" w:line="322" w:lineRule="auto"/>
        <w:ind w:left="920" w:right="0" w:firstLine="680"/>
        <w:jc w:val="both"/>
        <w:rPr>
          <w:sz w:val="24"/>
          <w:szCs w:val="24"/>
        </w:rPr>
      </w:pPr>
      <w:r>
        <w:rPr>
          <w:color w:val="4B444B"/>
          <w:spacing w:val="0"/>
          <w:w w:val="100"/>
          <w:position w:val="0"/>
          <w:sz w:val="24"/>
          <w:szCs w:val="24"/>
          <w:shd w:val="clear" w:color="auto" w:fill="auto"/>
          <w:lang w:val="ru-RU" w:eastAsia="ru-RU" w:bidi="ru-RU"/>
        </w:rPr>
        <w:t>Установлено, что применение укладок типа 80 снижает контаминацию отверстия укладки в 3 раза, по сравнению с обычными укладками смотровых</w:t>
      </w:r>
    </w:p>
    <w:p>
      <w:pPr>
        <w:pStyle w:val="Style13"/>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Таким образом, с учетом практики использования перчаток, а также на основе подтвержденного исследования, достоверно установлено, что перчатки, упакованные с возможностью извлечения перчаток по одной, имеет существенное функциональное значение и снижает риск контаминации перчаток, что в свою очередь снижает риски передачи внутрибольничных инфекций.</w:t>
      </w:r>
    </w:p>
    <w:p>
      <w:pPr>
        <w:pStyle w:val="Style13"/>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В частности, самыми распространенными схемами контаминации и инфицирования являются:</w:t>
      </w:r>
    </w:p>
    <w:p>
      <w:pPr>
        <w:pStyle w:val="Style13"/>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1) схема от медицинского персонала - к медицинскому персоналу. На практике связан с использованием одной упаковки перчаток разными врачами. То есть, от контаминированных рук одного врача, бактерии и инфекции попадают на упаковку и перчатки, которые при использовании другим врачом, приводят к контаминации второго врача. При наличии микротрещин и иных повреждений на коже рук врачей (банальный контактный дерматит) происходит заражение медицинского персонала по схеме "врач- врач".</w:t>
      </w:r>
    </w:p>
    <w:p>
      <w:pPr>
        <w:pStyle w:val="Style13"/>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2) схема от медицинского персонала - к пациентам. На практике связано с контаминацией перчаток бактериями и инфекциями и последующем контакте этих перчаток с пациентом. Аналогично схеме в пункте ^ 1, последующее заражение от контаминированных перчаток переходит от врача, использующего перчатки, в адрес пациента.</w:t>
      </w:r>
    </w:p>
    <w:p>
      <w:pPr>
        <w:pStyle w:val="Style13"/>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Для исключения указанных путей заражения, Заказчиком обоснованно установлено соответствующее требование».</w:t>
      </w:r>
    </w:p>
    <w:p>
      <w:pPr>
        <w:pStyle w:val="Style13"/>
        <w:keepNext w:val="0"/>
        <w:keepLines w:val="0"/>
        <w:widowControl w:val="0"/>
        <w:shd w:val="clear" w:color="auto" w:fill="auto"/>
        <w:bidi w:val="0"/>
        <w:spacing w:before="0" w:after="280" w:line="240" w:lineRule="auto"/>
        <w:ind w:left="220" w:right="0" w:firstLine="720"/>
        <w:jc w:val="both"/>
      </w:pPr>
      <w:r>
        <w:rPr>
          <w:color w:val="000000"/>
          <w:spacing w:val="0"/>
          <w:w w:val="100"/>
          <w:position w:val="0"/>
          <w:shd w:val="clear" w:color="auto" w:fill="auto"/>
          <w:lang w:val="ru-RU" w:eastAsia="ru-RU" w:bidi="ru-RU"/>
        </w:rPr>
        <w:t>Кроме того, Заказчик в ходе рассмотрения пояснил, что положениям Извещения соответствуют товары по крайней мере трёх производителей:</w:t>
      </w:r>
    </w:p>
    <w:tbl>
      <w:tblPr>
        <w:tblOverlap w:val="never"/>
        <w:jc w:val="center"/>
        <w:tblLayout w:type="fixed"/>
      </w:tblPr>
      <w:tblGrid>
        <w:gridCol w:w="1973"/>
        <w:gridCol w:w="1982"/>
        <w:gridCol w:w="2165"/>
        <w:gridCol w:w="2112"/>
        <w:gridCol w:w="2059"/>
      </w:tblGrid>
      <w:tr>
        <w:trPr>
          <w:trHeight w:val="850" w:hRule="exact"/>
        </w:trPr>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Наименование характеристик и</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Значение характеристики , установленное</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Характеристики перчаток РУ №ФСР</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Характеристики перчаток РУ №ФСЗ</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Характеристики перчаток РУ №ФСЗ</w:t>
            </w:r>
          </w:p>
        </w:tc>
      </w:tr>
    </w:tbl>
    <w:p>
      <w:pPr>
        <w:widowControl w:val="0"/>
        <w:spacing w:line="1" w:lineRule="exact"/>
      </w:pPr>
      <w:r>
        <w:br w:type="page"/>
      </w:r>
    </w:p>
    <w:tbl>
      <w:tblPr>
        <w:tblOverlap w:val="never"/>
        <w:jc w:val="center"/>
        <w:tblLayout w:type="fixed"/>
      </w:tblPr>
      <w:tblGrid>
        <w:gridCol w:w="1973"/>
        <w:gridCol w:w="1982"/>
        <w:gridCol w:w="2165"/>
        <w:gridCol w:w="2112"/>
        <w:gridCol w:w="2059"/>
      </w:tblGrid>
      <w:tr>
        <w:trPr>
          <w:trHeight w:val="8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в описании объекта закупки</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2008/03090 от 30 июля 2008 г.</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2009/04144 от 11 июня 2014 г.</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2010/07612 от 18 августа 2014 г.</w:t>
            </w:r>
          </w:p>
        </w:tc>
      </w:tr>
      <w:tr>
        <w:trPr>
          <w:trHeight w:val="1109"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Удлинение при разрыве (до ускоренного старения)</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&gt; 500 %</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500%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550%</w:t>
            </w:r>
          </w:p>
        </w:tc>
      </w:tr>
      <w:tr>
        <w:trPr>
          <w:trHeight w:val="84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Внешняя отделка</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Текстурный рисунок в области пальцев</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Текстурированнна я поверхность пальцев</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Текстурированны е в области пальцев</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Текстурированна я поверхность пальцев</w:t>
            </w:r>
          </w:p>
        </w:tc>
      </w:tr>
      <w:tr>
        <w:trPr>
          <w:trHeight w:val="56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Длина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&gt; 260 мм</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220 мм не более 310 мм</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270 мм</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270 мм</w:t>
            </w:r>
          </w:p>
        </w:tc>
      </w:tr>
      <w:tr>
        <w:trPr>
          <w:trHeight w:val="1114"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Одинарная толщина (в области пальцев)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&gt; 0.11 мм</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0,11 мм</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0,11 мм</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0,11 мм</w:t>
            </w:r>
          </w:p>
        </w:tc>
      </w:tr>
      <w:tr>
        <w:trPr>
          <w:trHeight w:val="1114"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Усилие при разрыве (до ускоренного старения)</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&gt; 7 Н</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 Н</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 Н</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 Н</w:t>
            </w:r>
          </w:p>
        </w:tc>
      </w:tr>
      <w:tr>
        <w:trPr>
          <w:trHeight w:val="72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Размер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8, М, Ц XI. по заявке Заказчика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8, М, Ц XI.</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8, М, Ц XI.</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8, М, Ц XI.</w:t>
            </w:r>
          </w:p>
        </w:tc>
      </w:tr>
      <w:tr>
        <w:trPr>
          <w:trHeight w:val="1670"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212121"/>
                <w:spacing w:val="0"/>
                <w:w w:val="100"/>
                <w:position w:val="0"/>
                <w:sz w:val="24"/>
                <w:szCs w:val="24"/>
                <w:shd w:val="clear" w:color="auto" w:fill="auto"/>
                <w:lang w:val="ru-RU" w:eastAsia="ru-RU" w:bidi="ru-RU"/>
              </w:rPr>
              <w:t>Упаковка</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212121"/>
                <w:spacing w:val="0"/>
                <w:w w:val="100"/>
                <w:position w:val="0"/>
                <w:sz w:val="24"/>
                <w:szCs w:val="24"/>
                <w:shd w:val="clear" w:color="auto" w:fill="auto"/>
                <w:lang w:val="ru-RU" w:eastAsia="ru-RU" w:bidi="ru-RU"/>
              </w:rPr>
              <w:t>Гигиеническая, обеспечивает подачу перчаток по одной манжетой вперед</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Укладка обеспечивает подачу перчаток снизу по одной манжетой вперед</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Укладка перчаток в блоке обеспечивает подачу перчаток по одной манжетой вперед</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Укладка перчаток в блоке обеспечивает подачу перчаток по одной манжетой вперед</w:t>
            </w:r>
          </w:p>
        </w:tc>
      </w:tr>
    </w:tbl>
    <w:p>
      <w:pPr>
        <w:widowControl w:val="0"/>
        <w:spacing w:after="859" w:line="1" w:lineRule="exact"/>
      </w:pP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Заявитель доказательств того, что требования Извещения нарушают его права и законные интересы, не позволяют принять участие в электронном запросе котировок, ставят его в неравные условия по отношению к другим участникам закупки или иным образом нарушают его права как участника закупки, не представил.</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При этом, Заявитель жалобы на заседание Комиссии не явился и возражений на доводы Заказчика не представил.</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Комиссия антимонопольного органа нарушений Закона о контрактной системе в действиях заказчика не усматривает.</w:t>
      </w:r>
    </w:p>
    <w:p>
      <w:pPr>
        <w:pStyle w:val="Style13"/>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1460" w:line="240" w:lineRule="auto"/>
        <w:ind w:left="0" w:right="0" w:firstLine="720"/>
        <w:jc w:val="both"/>
      </w:pPr>
      <w:r>
        <w:rPr>
          <w:color w:val="000000"/>
          <w:spacing w:val="0"/>
          <w:w w:val="100"/>
          <w:position w:val="0"/>
          <w:shd w:val="clear" w:color="auto" w:fill="auto"/>
          <w:lang w:val="ru-RU" w:eastAsia="ru-RU" w:bidi="ru-RU"/>
        </w:rPr>
        <w:t>Признать жалобу ООО «Спитэк» (далее - Заявитель) вх. № 574/25 от 22.01.2025 на положения извещения при проведении электронного аукциона «Поставка изделий медицинского назначения (перчатки смотровые/процедурные нитриловые, неопудренные, нестерильные (Лот З-61))» (номер извещения 0529200000325000002) необоснованной.</w:t>
      </w:r>
    </w:p>
    <w:p>
      <w:pPr>
        <w:pStyle w:val="Style13"/>
        <w:keepNext w:val="0"/>
        <w:keepLines w:val="0"/>
        <w:widowControl w:val="0"/>
        <w:shd w:val="clear" w:color="auto" w:fill="auto"/>
        <w:bidi w:val="0"/>
        <w:spacing w:before="0" w:after="9360" w:line="240"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Исп.Джафаров Р.Ш. тел.(8442)24-22-64</w:t>
      </w:r>
    </w:p>
    <w:sectPr>
      <w:footnotePr>
        <w:pos w:val="pageBottom"/>
        <w:numFmt w:val="decimal"/>
        <w:numRestart w:val="continuous"/>
      </w:footnotePr>
      <w:type w:val="continuous"/>
      <w:pgSz w:w="11900" w:h="16840"/>
      <w:pgMar w:top="879" w:right="492" w:bottom="821" w:left="95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755015</wp:posOffset>
              </wp:positionH>
              <wp:positionV relativeFrom="page">
                <wp:posOffset>9941560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2025-512</w:t>
                          </w:r>
                        </w:p>
                      </w:txbxContent>
                    </wps:txbx>
                    <wps:bodyPr wrap="none" lIns="0" tIns="0" rIns="0" bIns="0">
                      <a:spAutoFit/>
                    </wps:bodyPr>
                  </wps:wsp>
                </a:graphicData>
              </a:graphic>
            </wp:anchor>
          </w:drawing>
        </mc:Choice>
        <mc:Fallback>
          <w:pict>
            <v:shape id="_x0000_s1031" type="#_x0000_t202" style="position:absolute;margin-left:59.450000000000003pt;margin-top:782.80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2025-512</w:t>
                          </w:r>
                        </w:p>
                      </w:txbxContent>
                    </wps:txbx>
                    <wps:bodyPr wrap="none" lIns="0" tIns="0" rIns="0" bIns="0">
                      <a:spAutoFit/>
                    </wps:bodyPr>
                  </wps:wsp>
                </a:graphicData>
              </a:graphic>
            </wp:anchor>
          </w:drawing>
        </mc:Choice>
        <mc:Fallback>
          <w:pict>
            <v:shape id="_x0000_s1033" type="#_x0000_t202" style="position:absolute;margin-left:57.pt;margin-top:776.2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3957955</wp:posOffset>
              </wp:positionH>
              <wp:positionV relativeFrom="page">
                <wp:posOffset>683260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1.65000000000003pt;margin-top:53.800000000000004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8"/>
      <w:szCs w:val="38"/>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60" w:line="278"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8">
    <w:name w:val="Основной текст (3)"/>
    <w:basedOn w:val="Normal"/>
    <w:link w:val="CharStyle9"/>
    <w:pPr>
      <w:widowControl w:val="0"/>
      <w:shd w:val="clear" w:color="auto" w:fill="auto"/>
      <w:spacing w:after="160" w:line="254" w:lineRule="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11">
    <w:name w:val="Подпись к картинке"/>
    <w:basedOn w:val="Normal"/>
    <w:link w:val="CharStyle12"/>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1"/>
    <w:basedOn w:val="Normal"/>
    <w:link w:val="CharStyle17"/>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Основной текст (4)"/>
    <w:basedOn w:val="Normal"/>
    <w:link w:val="CharStyle28"/>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