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Гилев Д.В.</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Уинская, д. 44, кв. 183, г. Пермь,</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Пермский край, 614051 ёаш11§11еу63@дта11 .сот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ФГБУ «Федеральный центр сердечно</w:t>
        <w:softHyphen/>
        <w:t>сосудистой хирургии» Министерства здравоохранения Российской Федерации (г. Красноярск) ул. Караульная, д. 45, г. Красноярск, 660020</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оШсе@кга8сог.ш;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Гс88Ь.1о^@уапдех.ш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д. 23-А, г. Москва, 121151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ко@118-1епдег.ш;</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276" w:bottom="1231" w:left="1140" w:header="0" w:footer="3" w:gutter="0"/>
          <w:pgNumType w:start="1"/>
          <w:cols w:num="2" w:space="1046"/>
          <w:noEndnote/>
          <w:titlePg/>
          <w:rtlGutter w:val="0"/>
          <w:docGrid w:linePitch="360"/>
        </w:sectPr>
      </w:pPr>
      <w:r>
        <w:rPr>
          <w:color w:val="000000"/>
          <w:spacing w:val="0"/>
          <w:w w:val="100"/>
          <w:position w:val="0"/>
          <w:sz w:val="24"/>
          <w:szCs w:val="24"/>
          <w:shd w:val="clear" w:color="auto" w:fill="auto"/>
          <w:lang w:val="ru-RU" w:eastAsia="ru-RU" w:bidi="ru-RU"/>
        </w:rPr>
        <w:t>тГо@118-1епдеЕШ</w:t>
      </w: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7" w:right="0" w:bottom="1188"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№024/06/106-175/2025</w:t>
      </w:r>
    </w:p>
    <w:p>
      <w:pPr>
        <w:pStyle w:val="Style13"/>
        <w:keepNext w:val="0"/>
        <w:keepLines w:val="0"/>
        <w:widowControl w:val="0"/>
        <w:shd w:val="clear" w:color="auto" w:fill="auto"/>
        <w:tabs>
          <w:tab w:pos="8794"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28 января 2024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М.А. Грицай, начальник отдела, Е.С. Суслина, специалист-эксперт (далее - Комиссия), рассмотрев жалобу индивидуального предпринимателя Гилева Д.В. (далее - податель жалобы) на действия заказчика - ФГБУ «Федеральный центр сердечно-сосудистой хирургии» Министерства здравоохранения Российской Федерации (г. Красноярск) при проведении электронного аукциона «Поставка медицинских изделий» (далее - аукцион), извещение номер 0319100000224001185; ИКЗ241246622853324660100100093300000244, на электронной торговой площадке ООО «РТС- 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ИП Гилева Д.В. на действия заказчика при проведении аукциона.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5"/>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состоявшейся 28.01.2025 в 11 часов 00 минут (по местному времени) по адресу: г. Красноярск, пр. Мира, 81 Д, каб. 20, лично присутствовал представитель заказчика, надлежащим образом подтвердивший свои личность и полномочия. Податель жалобы, надлежащим образом уведомленный о месте и времени рассмотрения жалобы, явку своего представителя не обеспечил.</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w:t>
      </w:r>
    </w:p>
    <w:p>
      <w:pPr>
        <w:pStyle w:val="Style13"/>
        <w:keepNext w:val="0"/>
        <w:keepLines w:val="0"/>
        <w:widowControl w:val="0"/>
        <w:numPr>
          <w:ilvl w:val="0"/>
          <w:numId w:val="1"/>
        </w:numPr>
        <w:shd w:val="clear" w:color="auto" w:fill="auto"/>
        <w:tabs>
          <w:tab w:pos="84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в нарушение требований Закона о контрактной системе, неправомерно сформировано техническое задание, содержащее требование о совместимости встроенного кабеля с четырехконтактным разъемом с соединительными кабелем Комбитранс, имеющимся у заказчика. По мнению подателя жалобы, включение заказчиком в аукционную документацию требований к закупаемому товару, которые свидетельствуют о его конкретном производителе, являются нарушением Закона о контрактной системе.</w:t>
      </w:r>
    </w:p>
    <w:p>
      <w:pPr>
        <w:pStyle w:val="Style13"/>
        <w:keepNext w:val="0"/>
        <w:keepLines w:val="0"/>
        <w:widowControl w:val="0"/>
        <w:numPr>
          <w:ilvl w:val="0"/>
          <w:numId w:val="1"/>
        </w:numPr>
        <w:shd w:val="clear" w:color="auto" w:fill="auto"/>
        <w:tabs>
          <w:tab w:pos="84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в нарушение Закона о контрактной системе, неправомерно установлена характеристика «трехходовый кран -красный».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с доводами жалобы в письменных пояснениях не согласился, просил в удовлетворении жалобы отказать, указывая на формирование положений извещения о проведении аукциона в соответствии с требованиями Закона о контрактной системе и фактической потребностью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посредством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3"/>
        </w:numPr>
        <w:shd w:val="clear" w:color="auto" w:fill="auto"/>
        <w:tabs>
          <w:tab w:pos="8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3"/>
        </w:numPr>
        <w:shd w:val="clear" w:color="auto" w:fill="auto"/>
        <w:tabs>
          <w:tab w:pos="9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3"/>
        </w:numPr>
        <w:shd w:val="clear" w:color="auto" w:fill="auto"/>
        <w:tabs>
          <w:tab w:pos="9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3"/>
        </w:numPr>
        <w:shd w:val="clear" w:color="auto" w:fill="auto"/>
        <w:tabs>
          <w:tab w:pos="8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w:t>
      </w:r>
      <w:r>
        <w:rPr>
          <w:color w:val="000000"/>
          <w:spacing w:val="0"/>
          <w:w w:val="100"/>
          <w:position w:val="0"/>
          <w:sz w:val="24"/>
          <w:szCs w:val="24"/>
          <w:shd w:val="clear" w:color="auto" w:fill="auto"/>
          <w:lang w:val="ru-RU" w:eastAsia="ru-RU" w:bidi="ru-RU"/>
        </w:rPr>
        <w:t>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5"/>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5"/>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7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327" w:right="538" w:bottom="1188" w:left="110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пунктам 5, 6 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качественные, эксплуатационные характеристики товара, работы, услуги в соответствии с положениями статьи 33 Закона о контрактной системе.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аукциона, сформированных с использованием ЕИС путем заполнения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№60), а также путем прикрепления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товара - «Набор с датчиком для измерения артериального давления», соответствующего позиции КТРУ 26.60.12.129-00000093.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описании объекта закупки заказчиком помимо прочих установлены следующие условия, в том числе, обжалуемые подателем жалобы:</w:t>
      </w:r>
    </w:p>
    <w:p>
      <w:pPr>
        <w:pStyle w:val="Style13"/>
        <w:keepNext w:val="0"/>
        <w:keepLines w:val="0"/>
        <w:widowControl w:val="0"/>
        <w:numPr>
          <w:ilvl w:val="0"/>
          <w:numId w:val="5"/>
        </w:numPr>
        <w:shd w:val="clear" w:color="auto" w:fill="auto"/>
        <w:tabs>
          <w:tab w:pos="77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Встроенный кабель с четырехконтактным разъемом, совместимый с соединительными кабелем Комбитранс, производства «Б.Браун Мельзунген АГ», имеющимся у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установила, что в позиции КТРУ 26.60.12.129-00000093 описание характеристик отсутствует, соответственно, характеристики закупаемого товара определены заказчиком самостоятельно. Вместе с тем, заказчиком определено обоснование применяемых характеристик.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Вопреки доводу подателя жалобы о том, что заказчиком не было осуществлено надлежащее обоснование несовместимости имеющегося кабеля Комбитранс с иными закупаемыми товарами, кроме как товаров производства «Б.Браун Мельзунген АГ», в том числе, не была приложена техническая документация кабеля Комбитранс, а также результаты независимой экспертизы, Комиссия Красноярского УФАС России отмечает, что какие-либо определенные критерии, требования к описанию обоснования использования дополнительных характеристик, а тем более о включении обосновывающих документов в содержание извещения о закупке, законом не устанавливаются (данный вывод согласуется с позицией Арбитражного суда Красноярского края, изложенной в решении от 12.02.2018 по делу № А33-27978/2017).</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также отмечает, что извещение о проведении аукциона содержит обоснование необходимости использования показателей, значимых для заказчика, следовательно, заказчиком исполнены требования пункта 2 части 1 статьи 33 Закона о контрактной системе, пункта 6 Правил использования КТРУ</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части 1 статьи 38 Федерального закона от 21.11.2011 № 323-ФЗ «Об основах охраны здоровья граждан в Российской Федерации» (далее - 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3"/>
        <w:keepNext w:val="0"/>
        <w:keepLines w:val="0"/>
        <w:widowControl w:val="0"/>
        <w:shd w:val="clear" w:color="auto" w:fill="auto"/>
        <w:bidi w:val="0"/>
        <w:spacing w:before="0" w:after="0" w:line="305" w:lineRule="auto"/>
        <w:ind w:left="0" w:right="0" w:firstLine="580"/>
        <w:jc w:val="both"/>
      </w:pPr>
      <w:r>
        <w:rPr>
          <w:color w:val="000000"/>
          <w:spacing w:val="0"/>
          <w:w w:val="100"/>
          <w:position w:val="0"/>
          <w:sz w:val="24"/>
          <w:szCs w:val="24"/>
          <w:shd w:val="clear" w:color="auto" w:fill="auto"/>
          <w:lang w:val="ru-RU" w:eastAsia="ru-RU" w:bidi="ru-RU"/>
        </w:rPr>
        <w:t>Согласно части 4 статьи 38 Закона об основах охраны здоровья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2025-1193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3 статьи 38 Закона об основах охраны здоровья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осуществляются в соответствии с разработанной производителем (изготовителем) медицинского изделия технической и (или) эксплуатационной документацией.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3.2 ГОСТ 31508-2012. Межгосударственный стандарт. Изделия медицинские. Классификация в зависимости от потенциального риска применения. Общие требования принадлежностями являются предметы,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 чтобы медицинское изделие могло быть использовано в соответствии с целевым назначением.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разъяснениям Росздравнадзора от 05.02.2018 № 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позицией Росздравнадзора, изложенной в письме от 20.05.2022 № 10- 30847/22,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регистрационном досье данных расходных материалом (аналогов), то потребитель вправе использовать их наряду с оригинальными расходными материалами (аналогами) независимо от того, есть ли разрешение производителя основного медицинского изделия.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Также в письме от 31.03.2023 № 10-18368/23 Росздравнадзор высказал свою позицию относительно использования расходных материалов иного, чем оборудование, производителя, указав, что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27.12.2012 № 1416 (далее - Правила).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6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подпунктом «г» пункту 10 Правил для государственной регистрации медицинского изделия (за исключением медицинских изделий, включенных в перечень)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3"/>
        <w:keepNext w:val="0"/>
        <w:keepLines w:val="0"/>
        <w:widowControl w:val="0"/>
        <w:shd w:val="clear" w:color="auto" w:fill="auto"/>
        <w:bidi w:val="0"/>
        <w:spacing w:before="0" w:after="0" w:line="271" w:lineRule="auto"/>
        <w:ind w:left="0" w:right="0" w:firstLine="580"/>
        <w:jc w:val="both"/>
        <w:sectPr>
          <w:footerReference w:type="default" r:id="rId11"/>
          <w:footnotePr>
            <w:pos w:val="pageBottom"/>
            <w:numFmt w:val="decimal"/>
            <w:numRestart w:val="continuous"/>
          </w:footnotePr>
          <w:pgSz w:w="11900" w:h="16840"/>
          <w:pgMar w:top="1119" w:right="537" w:bottom="564" w:left="1105" w:header="691" w:footer="136"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подпункту 14 пункта 6 требований к содержанию технической и эксплуатационной документации производителя (изготовителя) медицинского изделия, утвержденных Приказом Минздрава России от 19.01.2017 № 11н (далее - Требования), эксплуатационная документация производителя (изготовителя) на медицинское изделие,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2025-1193</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являющегося медицинским изделием, должна содержать информацию, необходимую для идентификации медицинских изделий с целью получения безопасной комбинации, и информацию об известных ограничениях по совместному использованию медицинских изделий (для медицинских изделий, предназначенных для использования вместе с другими медицинскими изделиями и (или) принадлежностями).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Следовательно, в эксплуатационной документации производителя указывается информация о совместимости или несовместимости медицинского изделия при его использовании с другими медицинскими изделиями.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13 Правил заявление о регистрации и документы, предусмотренные пунктом 10 Правил, представляются заявителем в регистрирующий орган.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15 Правил в течение 5 рабочих дней со дня поступления заявления о регистрации и документов, предусмотренных пунктом 10 Правил, регистрирующий орган проводит проверку полноты и достоверности содержащихся в них сведений, в том числе путем сравнения таких сведений со сведениями, представленными в порядке межведомственного информационного взаимодействия.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17 Правил в течение 3 рабочих дней со дня представления надлежащим образом оформленного заявления о регистрации и в полном объеме документов, предусмотренных пунктом 10 данных Правил, а также в случае устранения в 30-дневный срок выявленных нарушений и (или) представления документов, предусмотренных пунктом 10 Правил, регистрирующий орган принимает решение о начале государственной регистрации медицинских изделий.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20 Правил предусмотрено, что в течение 3 рабочих дней со дня принятия решения о начале государственной регистрации медицинских изделий (за исключением медицинских изделий, включенных в перечень) регистрирующий орган оформляет и выдает задание на проведение экспертизы качества, эффективности и безопасности медицинского изделия федеральному государственному бюджетному учреждению, находящемуся в ведении регистрирующего органа.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5 Правил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пункту 21 Правил экспертиза качества, эффективности и безопасности медицинского изделия проводится экспертным учреждением поэтапно в соответствии с порядком, утверждаемым Министерством здравоохранения Российской Федерации:</w:t>
      </w:r>
    </w:p>
    <w:p>
      <w:pPr>
        <w:pStyle w:val="Style13"/>
        <w:keepNext w:val="0"/>
        <w:keepLines w:val="0"/>
        <w:widowControl w:val="0"/>
        <w:numPr>
          <w:ilvl w:val="0"/>
          <w:numId w:val="7"/>
        </w:numPr>
        <w:shd w:val="clear" w:color="auto" w:fill="auto"/>
        <w:tabs>
          <w:tab w:pos="8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I этапе осуществляется экспертиза заявления о регистрации и документов, указанных в пункте 10 данных Правил, для определения возможности (невозможности) проведения клинических испытаний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т уИго, а также медицинских изделий, включенных в перечень);</w:t>
      </w:r>
    </w:p>
    <w:p>
      <w:pPr>
        <w:pStyle w:val="Style13"/>
        <w:keepNext w:val="0"/>
        <w:keepLines w:val="0"/>
        <w:widowControl w:val="0"/>
        <w:numPr>
          <w:ilvl w:val="0"/>
          <w:numId w:val="7"/>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II этапе осуществляется экспертиза полноты и результатов проведенных технических испытаний, токсикологических исследований, клинических испытаний,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соответствии с пунктом 38 Порядка организации и проведения экспертизы качества, </w:t>
      </w:r>
      <w:r>
        <w:rPr>
          <w:color w:val="000000"/>
          <w:spacing w:val="0"/>
          <w:w w:val="100"/>
          <w:position w:val="0"/>
          <w:sz w:val="24"/>
          <w:szCs w:val="24"/>
          <w:shd w:val="clear" w:color="auto" w:fill="auto"/>
          <w:lang w:val="ru-RU" w:eastAsia="ru-RU" w:bidi="ru-RU"/>
        </w:rPr>
        <w:t>эффективности и безопасности медицинских изделий, утвержденного Приказом Минздрава России от 20.03.2020 № 206н (далее - Порядок), основаниями для вынесения экспертным учреждением заключения о невозможности проведения клинических испытаний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т уДго, а также медицинских изделий, включенных в перечень) являются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 а также отсутствие доказательств безопасности медицинского изделия.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пункта 41 Порядка основаниями для вынесения экспертным учреждением заключения о невозможности государственной регистрации медицинского изделия (по результатам экспертизы качества, эффективности и безопасности медицинского изделия (за исключением медицинских изделий 1 класса потенциального риска применения,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и медицинских изделий для диагностики ш уИго, а также медицинских изделий, включенных в перечень) являются, в том числе, несоответствие медицинского изделия требованиям нормативной документации, технической и (или) эксплуатационной документации производителя (изготовителя) и неподтверждение качества, и (или) эффективности, и (или) безопасности регистрируемого медицинского изделия полученными данными.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Комиссия считает, что возможность совместного применения медицинских изделий определяется, в том числе, в процессе государственной регистрации медицинских изделий на основании результатов технических испытаний, экспертизы качества, эффективности и безопасности медицинских изделий, и о возможности такого совместного использования указывается в технической документации производителя (изготовителя) на медицинское изделие и подтверждается регистрационным удостоверением как документом, удостоверяющим факт государственной регистрации медицинского изделия.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Комиссией было установлено, что в инструкции к медицинскому изделию «Устройства для контроля кровяного давления Комбидин, Комбитранс, Сенсонор» (регистрационное удостоверение от 20.07.2017 № РЗН 2013/245), размещенной на официальном сайте Росздравнадзора, не содержится информация о том, что кабель соединительный Комбитранс производителя «Б.Браун Мельзунген» предназначен для подключения преобразователей иных производителей, кроме медицинских изделий производства «Б.Браун Мельзунген».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эксплуатационная документация на медицинское изделие «Кабель соединительный Комбитранс» (регистрационное удостоверение от 20.07.2017 № РЗН 2013/245), размещенная на официальном сайте Росздравнадзора, не подтверждает совместимость товара иного производителя с оборудованием и медицинским изделием, имеющимся у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подателем жалобы не были предоставлены документы и сведения, подтверждающие проведение экспертиз и испытаний совместимости медицинских изделий иных, кроме «Б.Браун Мельзунген», производителей с соединительным кабелем Комбинтранс производства «Б.Браун Мельзунген».</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письмом от 15.05.2024 № 850/24 ББМ ООО «Б.Браун Медикал», официального представителя «Б.Браун Мельсунген АГ» на территории Российской Федерации, кабели соединительные Комбитранс могут использоваться только с наборами для контроля давления с преобразователем Комбитранс производства компании «Б.Браун Мельсунген АГ». Использование наборов для инвазивного измерения давления других производителей запрещено, так как они являются несовместимыми.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письмом от 24.01.2025 № 84/25 ББМ ООО «Б.Браун Медикал», официального представителя «Б.Браун Мельсунген АГ» на территории Российской Федерации, отмечено, что компания-производитель не рекомендует использование несовместимых устройств по причине риска угрозы жизни и здоровью пациентов.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в виду отсутствия подтверждения со стороны производителя о возможности совместного применения с данным медицинским изделием соединительных кабелей иного производителя, кроме «Б.Браун Мельсунген АГ», а также ввиду отсутствия доказательств со стороны подателя жалобы наличия на товарно рынке соединительных кабелей иных производителей, совместимых с имеющимся у заказчика соединительным кабелем Комбитранс, Комиссия приходит к выводу о том, что указание в описании объекта закупки оспариваемой характеристики было осуществлено заказчиком в соответствии с требованиями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Относительно довода подателя жалобы о том, что соединительный кабель Комбитранс не является оборудованием в значении, установленном Законом о контрактной системе, в связи с чем к нему не могут быть применены нормы о совместимости, Комиссия отмечает, что требование о совместимости с соединительными кабелем Комбитранс установлено заказчиком ввиду того, что, в случае закупки заказчиком товара, несовместимого с имеющимися в наличии у заказчика кабелями Комбитранс, у заказчика будет отсутствовать возможность использования имеющегося оборудования для измерения артериального давления по назначению, что приведет к невозможности оказания медицинских услуг в указанной части.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части довода подателя жалобы о том, что установление заказчиком требований к характеристике «Цветовая кодировка магистрали высокого давления и трехходового крана — красный» является нарушением Закона о контрактной системе, поскольку данному критерию соответствует только изделие «Б.Браун Мельсунген АГ», Комиссия отмечает следующее.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письменных пояснениях заказчиком было подчеркнуто, что цветовая кодировка магистрали высокого давления и трехходового крана красного цвета установлена для идентификации артериального доступа, а также наиболее оперативного реагирования медицинского персонала ФГБУ «Федеральный центр сердечно-сосудистой хирургии» Министерства здравоохранения Российской Федерации (г. Красноярск). В связи с этим иная цветовая маркировка не соответствует потребности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приходит к выводу, что данный довод подателя жалобы является необоснованным, поскольку установление заказчиком рассматриваемой характеристики было вызвано действительной потребностью заказчика. Комиссия также отмечает, что подателем жалобы не были предоставлены доказательства отсутствия на товарном рынке медицинских изделий иного производства, помимо «Б.Браун Мельсунген АГ», имеющих цветовую маркировку цвета «красный».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Наряду с вышеизложенным, Комиссия отмечает, что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Закон о контрактной системе не содержит норм, ограничивающих право заказчика включать в извещение о проведении закупки требований к объекту закупки, которые являются для него значимыми,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Формирование положений извещений о проведении закупок в сфере оказания медицинских услуг осуществляется заказчиком в целях достижения максимального результата лечения пациентов, с соблюдением принципов, закрепленных в статье 41 Конституции Российской Федерации и статье 4 Федерального закона от 21.11.2011 № 323-ФЗ «Об основах здоровья граждан в Российской Федерации», предусматривающих обеспечение прав граждан в сфере охраны здоровья, приоритет интересов пациента, доступность и качество при оказании медицинской помощи.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письменным пояснениям заказчика при описании характеристик закупаемого товара он руководствовался своей объективной потребностью и учитывал специфику использования соединительного кабеля Комбитранс, для которого закупаются расходные материалы, указав все необходимые показатели, используемые для определения соответствия предлагаемых товаров нуждам заказчика.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2 статьи 4 Федерального закона от 21.11.2011 № 323-ФЗ «Об основах охраны здоровья граждан в Российской Федерации» (далее - Закон об основах охраны здоровья граждан в Российской Федерации) одним из основных принципов охраны здоровья является приоритет интересов пациента при оказании медицинской помощи.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Частью 2 статьи 98 Закона об основах охраны здоровья граждан в Российской Федерации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установлении конкретных требований к объекту закупки определяющим является достижение соответствующего уровня безопасности при лечении пациентов, максимальное исключение любых нежелательных реакций и последствий в рамках оказания медицинской помощи.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Описание объекта закупки составлено в соответствии с объективными потребностями Заказчика, исходя из необходимости достижения результатов и эффективности закупки, с учетом особенностей, имеющих принципиальную значимость для заказчика с учетом специфики его деятельности, в которой решающее значение имеет необходимость оказания качественной медицинской помощи.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аукциона установлены четкие и конкретные требования к закупаемой смеси сухой белковой композитной с учетом потребности заказчика, отвечающей интересам пациентов, что не противоречит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характеристики, включенные заказчиком в описание объекта закупки, сформированные с учетом нужд заказчика, не подлежат признанию избыточными, вопреки утверждению подателя жалобы об обратном. Предъявляемые заказчиком требования к товару требований, подлежащих обязательному соблюдению, норм действующего законодательства не нарушают, доказательства обратного у Комиссии отсутствуют.</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Положения статьи 6 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w:t>
      </w:r>
      <w:r>
        <w:rPr>
          <w:color w:val="000000"/>
          <w:spacing w:val="0"/>
          <w:w w:val="100"/>
          <w:position w:val="0"/>
          <w:sz w:val="24"/>
          <w:szCs w:val="24"/>
          <w:shd w:val="clear" w:color="auto" w:fill="auto"/>
          <w:lang w:val="ru-RU" w:eastAsia="ru-RU" w:bidi="ru-RU"/>
        </w:rPr>
        <w:t>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настоящем решении Комиссией установлено, что при формировании описания объекта закупки заказчик исходил из фактической потребности заказчика, обусловленной необходимостью своевременного и качественного оказания медицинских услуг пациентам.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Тем самым, доводы подателя жалобы о наличии в описании объекта закупки требований, которые, сужают круг участников закупки, не подтверждаются фактическими обстоятельствами.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указанным Комиссия приходит к выводу о том, что действия заказчика не противоречат положениям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Дополнительно Комиссия сообщает о том, что в соответствии с частью 1 статьи 2 Закона о контрактной системе Закон о защите конкуренции не входит в систему законодательства о контрактной системе, поэтому Комиссия не может давать оценку действий уполномоченного органа, заказчика при проведении закупки на предмет наличия признаков нарушения Закона о защите конкуренции.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 установленных Законом о защите конкуренции.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ИП Гилева Д.В. необоснованной.</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tabs>
          <w:tab w:pos="8645"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13"/>
        <w:keepNext w:val="0"/>
        <w:keepLines w:val="0"/>
        <w:widowControl w:val="0"/>
        <w:shd w:val="clear" w:color="auto" w:fill="auto"/>
        <w:tabs>
          <w:tab w:pos="8885"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М.А. Грицай</w:t>
      </w:r>
    </w:p>
    <w:p>
      <w:pPr>
        <w:pStyle w:val="Style8"/>
        <w:keepNext w:val="0"/>
        <w:keepLines w:val="0"/>
        <w:widowControl w:val="0"/>
        <w:shd w:val="clear" w:color="auto" w:fill="auto"/>
        <w:bidi w:val="0"/>
        <w:spacing w:before="0" w:after="0" w:line="228" w:lineRule="auto"/>
        <w:ind w:left="0" w:right="0" w:firstLine="8880"/>
        <w:jc w:val="both"/>
        <w:rPr>
          <w:sz w:val="20"/>
          <w:szCs w:val="20"/>
        </w:rPr>
      </w:pPr>
      <w:r>
        <w:rPr>
          <w:b w:val="0"/>
          <w:bCs w:val="0"/>
          <w:color w:val="000000"/>
          <w:spacing w:val="0"/>
          <w:w w:val="100"/>
          <w:position w:val="0"/>
          <w:sz w:val="24"/>
          <w:szCs w:val="24"/>
          <w:shd w:val="clear" w:color="auto" w:fill="auto"/>
          <w:lang w:val="ru-RU" w:eastAsia="ru-RU" w:bidi="ru-RU"/>
        </w:rPr>
        <w:t xml:space="preserve">Е.С. Суслина </w:t>
      </w:r>
      <w:r>
        <w:rPr>
          <w:b w:val="0"/>
          <w:bCs w:val="0"/>
          <w:color w:val="000000"/>
          <w:spacing w:val="0"/>
          <w:w w:val="100"/>
          <w:position w:val="0"/>
          <w:sz w:val="20"/>
          <w:szCs w:val="20"/>
          <w:shd w:val="clear" w:color="auto" w:fill="auto"/>
          <w:lang w:val="ru-RU" w:eastAsia="ru-RU" w:bidi="ru-RU"/>
        </w:rPr>
        <w:t>Исп.Суслина Е.С.</w:t>
      </w:r>
    </w:p>
    <w:p>
      <w:pPr>
        <w:pStyle w:val="Style8"/>
        <w:keepNext w:val="0"/>
        <w:keepLines w:val="0"/>
        <w:widowControl w:val="0"/>
        <w:shd w:val="clear" w:color="auto" w:fill="auto"/>
        <w:bidi w:val="0"/>
        <w:spacing w:before="0" w:after="52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тел.211-01-44</w:t>
      </w:r>
    </w:p>
    <w:sectPr>
      <w:footerReference w:type="default" r:id="rId12"/>
      <w:footnotePr>
        <w:pos w:val="pageBottom"/>
        <w:numFmt w:val="decimal"/>
        <w:numRestart w:val="continuous"/>
      </w:footnotePr>
      <w:pgSz w:w="11900" w:h="16840"/>
      <w:pgMar w:top="1086" w:right="535" w:bottom="1144" w:left="1102" w:header="65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10030460</wp:posOffset>
              </wp:positionV>
              <wp:extent cx="633730" cy="100330"/>
              <wp:wrapNone/>
              <wp:docPr id="3" name="Shape 3"/>
              <a:graphic xmlns:a="http://schemas.openxmlformats.org/drawingml/2006/main">
                <a:graphicData uri="http://schemas.microsoft.com/office/word/2010/wordprocessingShape">
                  <wps:wsp>
                    <wps:cNvSpPr txBox="1"/>
                    <wps:spPr>
                      <a:xfrm>
                        <a:ext cx="6337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99999999999999pt;margin-top:789.80000000000007pt;width:49.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3730" cy="100330"/>
              <wp:wrapNone/>
              <wp:docPr id="5" name="Shape 5"/>
              <a:graphic xmlns:a="http://schemas.openxmlformats.org/drawingml/2006/main">
                <a:graphicData uri="http://schemas.microsoft.com/office/word/2010/wordprocessingShape">
                  <wps:wsp>
                    <wps:cNvSpPr txBox="1"/>
                    <wps:spPr>
                      <a:xfrm>
                        <a:ext cx="6337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wps:txbx>
                    <wps:bodyPr wrap="none" lIns="0" tIns="0" rIns="0" bIns="0">
                      <a:spAutoFit/>
                    </wps:bodyPr>
                  </wps:wsp>
                </a:graphicData>
              </a:graphic>
            </wp:anchor>
          </w:drawing>
        </mc:Choice>
        <mc:Fallback>
          <w:pict>
            <v:shape id="_x0000_s1031" type="#_x0000_t202" style="position:absolute;margin-left:57.pt;margin-top:776.20000000000005pt;width:49.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10030460</wp:posOffset>
              </wp:positionV>
              <wp:extent cx="633730" cy="100330"/>
              <wp:wrapNone/>
              <wp:docPr id="7" name="Shape 7"/>
              <a:graphic xmlns:a="http://schemas.openxmlformats.org/drawingml/2006/main">
                <a:graphicData uri="http://schemas.microsoft.com/office/word/2010/wordprocessingShape">
                  <wps:wsp>
                    <wps:cNvSpPr txBox="1"/>
                    <wps:spPr>
                      <a:xfrm>
                        <a:ext cx="6337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wps:txbx>
                    <wps:bodyPr wrap="none" lIns="0" tIns="0" rIns="0" bIns="0">
                      <a:spAutoFit/>
                    </wps:bodyPr>
                  </wps:wsp>
                </a:graphicData>
              </a:graphic>
            </wp:anchor>
          </w:drawing>
        </mc:Choice>
        <mc:Fallback>
          <w:pict>
            <v:shape id="_x0000_s1033" type="#_x0000_t202" style="position:absolute;margin-left:56.899999999999999pt;margin-top:789.80000000000007pt;width:49.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