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1016635</wp:posOffset>
                </wp:positionH>
                <wp:positionV relativeFrom="paragraph">
                  <wp:posOffset>60960</wp:posOffset>
                </wp:positionV>
                <wp:extent cx="2045335" cy="301625"/>
                <wp:wrapSquare wrapText="bothSides"/>
                <wp:docPr id="1" name="Shape 1"/>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80.049999999999997pt;margin-top:4.7999999999999998pt;width:161.05000000000001pt;height:23.7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anchorx="page"/>
              </v:shape>
            </w:pict>
          </mc:Fallback>
        </mc:AlternateContent>
      </w:r>
    </w:p>
    <w:p>
      <w:pPr>
        <w:pStyle w:val="Style5"/>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757" w:bottom="621" w:left="641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ФГБУ «НИЦ «Курчатовский институт» окр@пгскЁги</w:t>
      </w:r>
    </w:p>
    <w:p>
      <w:pPr>
        <w:pStyle w:val="Style2"/>
        <w:keepNext w:val="0"/>
        <w:keepLines w:val="0"/>
        <w:framePr w:w="1411" w:h="240" w:wrap="none" w:vAnchor="text" w:hAnchor="page" w:x="2514" w:y="21"/>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УПРАВЛЕНИЕ</w:t>
      </w:r>
    </w:p>
    <w:p>
      <w:pPr>
        <w:pStyle w:val="Style2"/>
        <w:keepNext w:val="0"/>
        <w:keepLines w:val="0"/>
        <w:framePr w:w="1138" w:h="240" w:wrap="none" w:vAnchor="text" w:hAnchor="page" w:x="2653" w:y="457"/>
        <w:widowControl w:val="0"/>
        <w:shd w:val="clear" w:color="auto" w:fill="auto"/>
        <w:bidi w:val="0"/>
        <w:spacing w:before="0" w:after="0" w:line="240" w:lineRule="auto"/>
        <w:ind w:left="0" w:right="0" w:firstLine="0"/>
        <w:jc w:val="left"/>
      </w:pPr>
      <w:r>
        <w:rPr>
          <w:b/>
          <w:bCs/>
          <w:spacing w:val="0"/>
          <w:w w:val="100"/>
          <w:position w:val="0"/>
          <w:shd w:val="clear" w:color="auto" w:fill="auto"/>
          <w:lang w:val="ru-RU" w:eastAsia="ru-RU" w:bidi="ru-RU"/>
        </w:rPr>
        <w:t>по г. Москве</w:t>
      </w:r>
    </w:p>
    <w:p>
      <w:pPr>
        <w:pStyle w:val="Style2"/>
        <w:keepNext w:val="0"/>
        <w:keepLines w:val="0"/>
        <w:framePr w:w="2453" w:h="461" w:wrap="none" w:vAnchor="text" w:hAnchor="page" w:x="1986" w:y="87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r>
    </w:p>
    <w:p>
      <w:pPr>
        <w:pStyle w:val="Style5"/>
        <w:keepNext w:val="0"/>
        <w:keepLines w:val="0"/>
        <w:framePr w:w="3139" w:h="715" w:wrap="none" w:vAnchor="text" w:hAnchor="page" w:x="6406" w:y="24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«ТЕХГАЗ»</w:t>
      </w:r>
    </w:p>
    <w:p>
      <w:pPr>
        <w:pStyle w:val="Style5"/>
        <w:keepNext w:val="0"/>
        <w:keepLines w:val="0"/>
        <w:framePr w:w="3139" w:h="715" w:wrap="none" w:vAnchor="text" w:hAnchor="page" w:x="6406" w:y="24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1епдег@1екдах-огепЪигд.ги</w:t>
      </w:r>
    </w:p>
    <w:p>
      <w:pPr>
        <w:pStyle w:val="Style2"/>
        <w:keepNext w:val="0"/>
        <w:keepLines w:val="0"/>
        <w:framePr w:w="3830" w:h="917" w:wrap="none" w:vAnchor="text" w:hAnchor="page" w:x="1275" w:y="1307"/>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тел. (495) 784-75-05, факс (495) 607-49-29</w:t>
        <w:br/>
        <w:t xml:space="preserve">факс (495) 607-42-92, </w:t>
      </w:r>
      <w:r>
        <w:rPr>
          <w:spacing w:val="0"/>
          <w:w w:val="100"/>
          <w:position w:val="0"/>
          <w:u w:val="single"/>
          <w:shd w:val="clear" w:color="auto" w:fill="auto"/>
          <w:lang w:val="ru-RU" w:eastAsia="ru-RU" w:bidi="ru-RU"/>
        </w:rPr>
        <w:t>е-тай: 1о77@Га8.еоу.ги</w:t>
      </w:r>
    </w:p>
    <w:p>
      <w:pPr>
        <w:pStyle w:val="Style11"/>
        <w:keepNext/>
        <w:keepLines/>
        <w:framePr w:w="3830" w:h="917" w:wrap="none" w:vAnchor="text" w:hAnchor="page" w:x="1275" w:y="1307"/>
        <w:widowControl w:val="0"/>
        <w:shd w:val="clear" w:color="auto" w:fill="auto"/>
        <w:tabs>
          <w:tab w:pos="1843" w:val="left"/>
        </w:tabs>
        <w:bidi w:val="0"/>
        <w:spacing w:before="0" w:after="0" w:line="240" w:lineRule="auto"/>
        <w:ind w:left="0" w:right="0" w:firstLine="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29.01.2025</w:t>
      </w:r>
      <w:r>
        <w:fldChar w:fldCharType="end"/>
      </w:r>
      <w:r>
        <w:rPr>
          <w:color w:val="000000"/>
          <w:spacing w:val="0"/>
          <w:w w:val="100"/>
          <w:position w:val="0"/>
          <w:shd w:val="clear" w:color="auto" w:fill="auto"/>
          <w:lang w:val="ru-RU" w:eastAsia="ru-RU" w:bidi="ru-RU"/>
        </w:rPr>
        <w:tab/>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3286/25</w:t>
      </w:r>
      <w:bookmarkEnd w:id="0"/>
    </w:p>
    <w:p>
      <w:pPr>
        <w:pStyle w:val="Style2"/>
        <w:keepNext w:val="0"/>
        <w:keepLines w:val="0"/>
        <w:framePr w:w="490" w:h="240" w:wrap="none" w:vAnchor="text" w:hAnchor="page" w:x="1141" w:y="2483"/>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На№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61" w:line="1" w:lineRule="exact"/>
      </w:pPr>
    </w:p>
    <w:p>
      <w:pPr>
        <w:widowControl w:val="0"/>
        <w:spacing w:line="1" w:lineRule="exact"/>
        <w:sectPr>
          <w:footnotePr>
            <w:pos w:val="pageBottom"/>
            <w:numFmt w:val="decimal"/>
            <w:numRestart w:val="continuous"/>
          </w:footnotePr>
          <w:type w:val="continuous"/>
          <w:pgSz w:w="11900" w:h="16840"/>
          <w:pgMar w:top="1162" w:right="536" w:bottom="649" w:left="1106"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104" w:after="10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99" w:right="0" w:bottom="986" w:left="0" w:header="0" w:footer="3" w:gutter="0"/>
          <w:cols w:space="720"/>
          <w:noEndnote/>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r>
      <w:r>
        <w:rPr>
          <w:b/>
          <w:bCs/>
          <w:color w:val="000000"/>
          <w:spacing w:val="0"/>
          <w:w w:val="100"/>
          <w:position w:val="0"/>
          <w:shd w:val="clear" w:color="auto" w:fill="auto"/>
          <w:lang w:val="ru-RU" w:eastAsia="ru-RU" w:bidi="ru-RU"/>
        </w:rPr>
        <w:t>по делу № 077/06/106-852/2025 о нарушении</w:t>
        <w:br/>
        <w:t>законодательства о контрактной системе</w:t>
      </w:r>
    </w:p>
    <w:p>
      <w:pPr>
        <w:pStyle w:val="Style5"/>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80" behindDoc="0" locked="0" layoutInCell="1" allowOverlap="1">
                <wp:simplePos x="0" y="0"/>
                <wp:positionH relativeFrom="page">
                  <wp:posOffset>6393180</wp:posOffset>
                </wp:positionH>
                <wp:positionV relativeFrom="paragraph">
                  <wp:posOffset>38100</wp:posOffset>
                </wp:positionV>
                <wp:extent cx="798830" cy="201295"/>
                <wp:wrapSquare wrapText="left"/>
                <wp:docPr id="9" name="Shape 9"/>
                <a:graphic xmlns:a="http://schemas.openxmlformats.org/drawingml/2006/main">
                  <a:graphicData uri="http://schemas.microsoft.com/office/word/2010/wordprocessingShape">
                    <wps:wsp>
                      <wps:cNvSpPr txBox="1"/>
                      <wps:spPr>
                        <a:xfrm>
                          <a:ext cx="798830"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wps:txbx>
                      <wps:bodyPr wrap="none" lIns="0" tIns="0" rIns="0" bIns="0">
                        <a:noAutoFit/>
                      </wps:bodyPr>
                    </wps:wsp>
                  </a:graphicData>
                </a:graphic>
              </wp:anchor>
            </w:drawing>
          </mc:Choice>
          <mc:Fallback>
            <w:pict>
              <v:shape id="_x0000_s1035" type="#_x0000_t202" style="position:absolute;margin-left:503.40000000000003pt;margin-top:3.pt;width:62.899999999999999pt;height:15.85pt;z-index:-125829373;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г. Москва</w:t>
                      </w:r>
                    </w:p>
                  </w:txbxContent>
                </v:textbox>
                <w10:wrap type="square" side="left" anchorx="page"/>
              </v:shape>
            </w:pict>
          </mc:Fallback>
        </mc:AlternateContent>
      </w:r>
      <w:r>
        <w:rPr>
          <w:b/>
          <w:bCs/>
          <w:color w:val="000000"/>
          <w:spacing w:val="0"/>
          <w:w w:val="100"/>
          <w:position w:val="0"/>
          <w:shd w:val="clear" w:color="auto" w:fill="auto"/>
          <w:lang w:val="ru-RU" w:eastAsia="ru-RU" w:bidi="ru-RU"/>
        </w:rPr>
        <w:t>28.01.2025</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5"/>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Членов Комиссии: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А.А. Леоновой,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ФГБУ «НИЦ «Курчатовский институт»: П.П. Игнатушенко (по доверенности от 09.02.2024 №71дв),</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«ТЕХГАЗ», о времени и порядке заседания Комиссии Управления уведомленных надлежащим образом Московским УФАС России посредством Единой информационной системы в сфере закупок (далее — ЕИС),</w:t>
      </w:r>
    </w:p>
    <w:p>
      <w:pPr>
        <w:pStyle w:val="Style5"/>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рассмотрев жалобу ООО «ТЕХГАЗ» (далее — Заявитель) на действия ФГБУ «НИЦ «Курчатовский институт» (далее — Заказчик) при проведении электронного аукциона на право заключения государственного контракта на поставку технических газов (Закупка №0373100001024000910)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0"/>
        <w:keepNext/>
        <w:keepLines/>
        <w:widowControl w:val="0"/>
        <w:shd w:val="clear" w:color="auto" w:fill="auto"/>
        <w:bidi w:val="0"/>
        <w:spacing w:before="0" w:after="0" w:line="240" w:lineRule="auto"/>
        <w:ind w:left="0" w:right="0"/>
        <w:jc w:val="left"/>
      </w:pPr>
      <w:bookmarkStart w:id="2" w:name="bookmark2"/>
      <w:r>
        <w:rPr>
          <w:color w:val="000000"/>
          <w:spacing w:val="0"/>
          <w:w w:val="100"/>
          <w:position w:val="0"/>
          <w:shd w:val="clear" w:color="auto" w:fill="auto"/>
          <w:lang w:val="ru-RU" w:eastAsia="ru-RU" w:bidi="ru-RU"/>
        </w:rPr>
        <w:t>||||||||||||||||||||||||||||</w:t>
      </w:r>
      <w:bookmarkEnd w:id="2"/>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вышеуказанного электронного аукциона.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своей заявки.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Заявитель считает, что при отклонении заявки комиссией Заказчика не учтено, что в реестре участников закупки, аккредитованных на электронной площадке ЕИС, Заявителем представлены документы и сведения, подтверждающие наличие опыта исполнения (с учетом правопреемства) контрактов в соответствии с п.4 Постановления Правительства Российской Федерации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также отмечает, что при отклонении заявки комиссия Заказчика неправомерно руководствовалась нормами ст.48 Закона о контрактной системе, регламентирующими порядок проведения открытого конкурса в электронной форме, в то время как закупка проводится в форме электронного аукциона.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21.01.2025 №ИЭА1 заявка Заявителя с идентификационным номером 41 отклонена на следующем основании, в том числе:</w:t>
      </w:r>
    </w:p>
    <w:p>
      <w:pPr>
        <w:pStyle w:val="Style5"/>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 xml:space="preserve">«Не представлена информация и документы, предусмотренные в п. 4 Постановления Правительства РФ от 29.12.2021 ^ 2571, в п. «н» ч. 1 «Требования к содержанию, составу заявки на участие в закупке, инструкция по ее заполнению» (Приложение №4 к извещению) подтверждающие соответствие участника закупки дополнительному требованию, установленному в соответствии с частью 2.1 статьи 31 № 44-ФЗ, а именно: акт приемки поставленных товаров, выполненных работ, оказанных услуг, подтверждающий цену поставленных товаров, выполненных работ, оказанных услуг. В заявке участника закупки представлен договор от 04.05.2021 на сумму 21 668 020,56руб., заключенный в соответствии с ФЗ № 223-ФЗ, при этом не представлен акт приемки поставленных товаров, выполненных работ, оказанных услуг, подтверждающий цену поставленных товаров, выполненных работ, оказанных услуг. Пунктом 4.4 раздела 4 «Приемка продукции (входной контроль продукции и сопроводительной документации)» представленного договора установлено, что при отсутствии замечаний к количеству, качеству, комплектации и сопроводительной документации Покупатель подписывает товарную накладную </w:t>
      </w:r>
      <w:r>
        <w:rPr>
          <w:i/>
          <w:iCs/>
          <w:color w:val="000000"/>
          <w:spacing w:val="0"/>
          <w:w w:val="100"/>
          <w:position w:val="0"/>
          <w:shd w:val="clear" w:color="auto" w:fill="auto"/>
          <w:lang w:val="ru-RU" w:eastAsia="ru-RU" w:bidi="ru-RU"/>
        </w:rPr>
        <w:t>(ТОРГ-12). При этом в составе заявки не представлена товарная накладная по форме ТОРГ-12, предусмотренная договором как универсальный передаточный документ. Вместе с тем в составе заявки представлен Акт сверки расчетов на сумму 21 276 210,97 руб., который не подтверждает факт предоставления исполненного договора с актами приемки поставленных товаров, выполненных работ что не соответствует п. 4 Постановления Правительства РФ от 29 декабря 2021 г. ^ 2571, п. «н» ч. 1 (Приложение №4 к извещению). Кроме того, в соответствии со ст. 9. ФЗ «О бухгалтерском учете» от 06.12.2011 ^ 402-ФЗ приложенный в составе заявки Акт сверки расчетов также не является первичным учетным документом.)».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 опыта работы, связанного с предметом контракта, и деловой репутации.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 1 ст. 31 Закона о контрактной системе, требования, предъявляемые к участникам закупки в соответствии с 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w:t>
      </w:r>
      <w:r>
        <w:rPr>
          <w:color w:val="000000"/>
          <w:spacing w:val="0"/>
          <w:w w:val="100"/>
          <w:position w:val="0"/>
          <w:shd w:val="clear" w:color="auto" w:fill="auto"/>
          <w:lang w:val="ru-RU" w:eastAsia="ru-RU" w:bidi="ru-RU"/>
        </w:rPr>
        <w:t>соответствии с ч. 1.1 ст. 31 Закона о контрактной системе (при наличии такого требования).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Комиссией Управления определено, что в соответствии с извещением об осуществлении аукциона закупка направлена на поставу технических газов, при этом установлено требование к участникам закупки в соответствии с п.4 Постановления №2571: </w:t>
      </w:r>
      <w:r>
        <w:rPr>
          <w:i/>
          <w:iCs/>
          <w:color w:val="000000"/>
          <w:spacing w:val="0"/>
          <w:w w:val="100"/>
          <w:position w:val="0"/>
          <w:shd w:val="clear" w:color="auto" w:fill="auto"/>
          <w:lang w:val="ru-RU" w:eastAsia="ru-RU" w:bidi="ru-RU"/>
        </w:rPr>
        <w:t xml:space="preserve">«Наличие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w:t>
      </w:r>
      <w:r>
        <w:rPr>
          <w:b/>
          <w:bCs/>
          <w:i/>
          <w:iCs/>
          <w:color w:val="000000"/>
          <w:spacing w:val="0"/>
          <w:w w:val="100"/>
          <w:position w:val="0"/>
          <w:shd w:val="clear" w:color="auto" w:fill="auto"/>
          <w:lang w:val="ru-RU" w:eastAsia="ru-RU" w:bidi="ru-RU"/>
        </w:rPr>
        <w:t>Информация и документы, подтверждающие соответствие участника закупки дополнительному требованию</w:t>
      </w:r>
      <w:r>
        <w:rPr>
          <w:i/>
          <w:iCs/>
          <w:color w:val="000000"/>
          <w:spacing w:val="0"/>
          <w:w w:val="100"/>
          <w:position w:val="0"/>
          <w:shd w:val="clear" w:color="auto" w:fill="auto"/>
          <w:lang w:val="ru-RU" w:eastAsia="ru-RU" w:bidi="ru-RU"/>
        </w:rPr>
        <w:t xml:space="preserve">, установленному в соответствии с частью 2.1 ст. 31 Закона о контрактной системе, </w:t>
      </w:r>
      <w:r>
        <w:rPr>
          <w:b/>
          <w:bCs/>
          <w:i/>
          <w:iCs/>
          <w:color w:val="000000"/>
          <w:spacing w:val="0"/>
          <w:w w:val="100"/>
          <w:position w:val="0"/>
          <w:shd w:val="clear" w:color="auto" w:fill="auto"/>
          <w:lang w:val="ru-RU" w:eastAsia="ru-RU" w:bidi="ru-RU"/>
        </w:rPr>
        <w:t>являются информация и документы, предусмотренные хотя бы одним из следующих подпунктов</w:t>
      </w:r>
      <w:r>
        <w:rPr>
          <w:i/>
          <w:iCs/>
          <w:color w:val="000000"/>
          <w:spacing w:val="0"/>
          <w:w w:val="100"/>
          <w:position w:val="0"/>
          <w:shd w:val="clear" w:color="auto" w:fill="auto"/>
          <w:lang w:val="ru-RU" w:eastAsia="ru-RU" w:bidi="ru-RU"/>
        </w:rPr>
        <w:t xml:space="preserve">: 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 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 в) исполненный контракт, заключенный в соответствии с Законом о контрактной системе, или </w:t>
      </w:r>
      <w:r>
        <w:rPr>
          <w:b/>
          <w:bCs/>
          <w:i/>
          <w:iCs/>
          <w:color w:val="000000"/>
          <w:spacing w:val="0"/>
          <w:w w:val="100"/>
          <w:position w:val="0"/>
          <w:shd w:val="clear" w:color="auto" w:fill="auto"/>
          <w:lang w:val="ru-RU" w:eastAsia="ru-RU" w:bidi="ru-RU"/>
        </w:rPr>
        <w:t>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r>
        <w:rPr>
          <w:i/>
          <w:iCs/>
          <w:color w:val="000000"/>
          <w:spacing w:val="0"/>
          <w:w w:val="100"/>
          <w:position w:val="0"/>
          <w:shd w:val="clear" w:color="auto" w:fill="auto"/>
          <w:lang w:val="ru-RU" w:eastAsia="ru-RU" w:bidi="ru-RU"/>
        </w:rPr>
        <w:t>.».</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пп. «н» п.1 ч. 1 ст. 43 Закона о контрактной системе для участия в конкурентном способе заявка на участие в закупке должна содержать информацию и документы об участнике закупки, в том числе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w:t>
      </w:r>
      <w:r>
        <w:rPr>
          <w:color w:val="000000"/>
          <w:spacing w:val="0"/>
          <w:w w:val="100"/>
          <w:position w:val="0"/>
          <w:shd w:val="clear" w:color="auto" w:fill="auto"/>
          <w:lang w:val="ru-RU" w:eastAsia="ru-RU" w:bidi="ru-RU"/>
        </w:rPr>
        <w:t>соответствии с ч.2 и ч.2.1 (при наличии таких требований) ст.31 Закона о контрактной системе, если иное не предусмотрено Законом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подтверждение наличия соответствующего опыта исполнения по п.4 Постановления №2571 оператором электронной площадки представлены следующие документы, а именно: исполненный договор, заключенный в соответствии с Федеральным законом «О закупках товаров, работ, услуг отдельными видами юридических лиц», № 50/992- н/77-2019-17-4513 от 10.12.2019, приложение №2 «Техническое задание» и акт сверки расчетов №0100039807 за период с 01.01.2021 по 31.12.2022 указанного контракта.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представленных документах отсутствует акт приемки поставленных товаров, подтверждающий цену поставленных товаров.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составе документов, направленных оператором электронной площадки в качестве подтверждения соответствия Заявителя дополнительным требованиям, предусмотренным п.4 Постановления № 2571, представлен договор №50/992-н/77- 2019-17-4513 от 10.12.2019.</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мнению Заказчика, комиссия Заказчика не могла принять указанный договор, поскольку в составе представленных оператором документов и сведений отсутствует акт приемки поставленных товаров, подтверждающий цену поставленных товаров.</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обоснование своей позиции представитель Заказчика акцентировал внимание, что п.4.4 раздела 4 «Приемка продукции (входной контроль продукции и сопроводительной документации)» представленного договора установлено, что при отсутствии замечаний к количеству, качеству, комплектации и сопроводительной документации Покупатель подписывает товарную накладную (ТОРГ-12).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соответствии со ст.9 Федерального закона от 06.12.2011 №402- ФЗ «О бухгалтерском учете» представленный в составе документов Заявителя акт сверки расчетов также не является первичным учетным документом.</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этой связи, по мнению представителя Заказчика, комиссия Заказчика правомерно пришла к выводу о том, что опыт, представленный Заявителем, не подтвержден.</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сведения, Комиссия Управления установила, что п.3.5.1 указанного контракта поставщик одновременно с поставкой продукции обязан предоставить покупателю оригиналы документов оформленные в соответствии с требованиями законодательства Российской Федерации, в частности, товарные накладные (ТОРГ -12).</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При этом если поставщик использует Универсальный передаточный документ (УПД), то вместо товарной накладной и счета-фактуры, поставщик предоставляет УПД со статусом «1», если вместо товарной накладной, со статусом </w:t>
      </w:r>
      <w:r>
        <w:rPr>
          <w:color w:val="000000"/>
          <w:spacing w:val="0"/>
          <w:w w:val="100"/>
          <w:position w:val="0"/>
          <w:shd w:val="clear" w:color="auto" w:fill="auto"/>
          <w:lang w:val="ru-RU" w:eastAsia="ru-RU" w:bidi="ru-RU"/>
        </w:rPr>
        <w:t>«2» на условиях, указанных в первом абзаце п. 3.5, в соответствии с письмом Федеральной налоговой службы от 21 октября 2013 № ММВ-20- 3/96@.</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изложенного, Комиссией Управления установлено, что надлежащим подтверждением исполнения обязательств по договору являются товарные накладные (ТОРГ-12) либо универсальные передаточные документы (УПД), при этом положения договора не предусматривают составление акта сверки в качестве документа, удостоверяющего надлежащее исполнение обязательств по такому договору.</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п.4 Постановления №2571 указано о возможности предоставления в качестве подтверждения соответствия установленным дополнительным требованиям, в том числе договора, заключенного в соответствии с Федеральным законом «О закупках товаров, работ, услуг отдельными видами юридических лиц» </w:t>
      </w:r>
      <w:r>
        <w:rPr>
          <w:i/>
          <w:iCs/>
          <w:color w:val="000000"/>
          <w:spacing w:val="0"/>
          <w:w w:val="100"/>
          <w:position w:val="0"/>
          <w:shd w:val="clear" w:color="auto" w:fill="auto"/>
          <w:lang w:val="ru-RU" w:eastAsia="ru-RU" w:bidi="ru-RU"/>
        </w:rPr>
        <w:t>вместе с актом приемки поставленных товаров</w:t>
      </w:r>
      <w:r>
        <w:rPr>
          <w:color w:val="000000"/>
          <w:spacing w:val="0"/>
          <w:w w:val="100"/>
          <w:position w:val="0"/>
          <w:shd w:val="clear" w:color="auto" w:fill="auto"/>
          <w:lang w:val="ru-RU" w:eastAsia="ru-RU" w:bidi="ru-RU"/>
        </w:rPr>
        <w:t>, выполненных работ, оказанных услуг, подтверждающий цену поставленных товаров, выполненных работ, оказанных услуг.</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установлено выше, аналогичным образом указанное требование отражено в извещении об осуществлении закупки.</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при принятии решения Комиссия Управления приходит к выводу, что Заявителем ненадлежащим образом представлены документы и сведения для подтверждения соответствия дополнительным требованиям к участникам закупок в соответствии с ч. 2.1 ст. 31 Закона о контрактной системе, предусмотренных положениями извещения об осуществлении электронного аукциона.</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а также с учетом представленных документов и сведений, Комиссия Управления приходит к выводу, что у комиссии Заказчика отсутствовали правовые основания признавать такого участника соответствующим требованиям извещения.</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Иного на заседании Комиссии Управления, в составе жалобы Заявителем представлено не было.</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Закона о контрактной системе.</w:t>
      </w:r>
    </w:p>
    <w:p>
      <w:pPr>
        <w:pStyle w:val="Style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5"/>
        <w:keepNext w:val="0"/>
        <w:keepLines w:val="0"/>
        <w:widowControl w:val="0"/>
        <w:numPr>
          <w:ilvl w:val="0"/>
          <w:numId w:val="1"/>
        </w:numPr>
        <w:shd w:val="clear" w:color="auto" w:fill="auto"/>
        <w:tabs>
          <w:tab w:pos="3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w:t>
      </w:r>
      <w:r>
        <w:rPr>
          <w:color w:val="000000"/>
          <w:spacing w:val="0"/>
          <w:w w:val="100"/>
          <w:position w:val="0"/>
          <w:shd w:val="clear" w:color="auto" w:fill="auto"/>
          <w:lang w:val="ru-RU" w:eastAsia="ru-RU" w:bidi="ru-RU"/>
        </w:rPr>
        <w:t>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1"/>
        </w:numPr>
        <w:shd w:val="clear" w:color="auto" w:fill="auto"/>
        <w:tabs>
          <w:tab w:pos="11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5"/>
        <w:keepNext w:val="0"/>
        <w:keepLines w:val="0"/>
        <w:widowControl w:val="0"/>
        <w:numPr>
          <w:ilvl w:val="0"/>
          <w:numId w:val="1"/>
        </w:numPr>
        <w:shd w:val="clear" w:color="auto" w:fill="auto"/>
        <w:tabs>
          <w:tab w:pos="11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ситсеме;</w:t>
      </w:r>
    </w:p>
    <w:p>
      <w:pPr>
        <w:pStyle w:val="Style5"/>
        <w:keepNext w:val="0"/>
        <w:keepLines w:val="0"/>
        <w:widowControl w:val="0"/>
        <w:numPr>
          <w:ilvl w:val="0"/>
          <w:numId w:val="1"/>
        </w:numPr>
        <w:shd w:val="clear" w:color="auto" w:fill="auto"/>
        <w:tabs>
          <w:tab w:pos="11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5"/>
        <w:keepNext w:val="0"/>
        <w:keepLines w:val="0"/>
        <w:widowControl w:val="0"/>
        <w:numPr>
          <w:ilvl w:val="0"/>
          <w:numId w:val="1"/>
        </w:numPr>
        <w:shd w:val="clear" w:color="auto" w:fill="auto"/>
        <w:tabs>
          <w:tab w:pos="11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5"/>
        <w:keepNext w:val="0"/>
        <w:keepLines w:val="0"/>
        <w:widowControl w:val="0"/>
        <w:numPr>
          <w:ilvl w:val="0"/>
          <w:numId w:val="1"/>
        </w:numPr>
        <w:shd w:val="clear" w:color="auto" w:fill="auto"/>
        <w:tabs>
          <w:tab w:pos="141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5"/>
        <w:keepNext w:val="0"/>
        <w:keepLines w:val="0"/>
        <w:widowControl w:val="0"/>
        <w:numPr>
          <w:ilvl w:val="0"/>
          <w:numId w:val="1"/>
        </w:numPr>
        <w:shd w:val="clear" w:color="auto" w:fill="auto"/>
        <w:tabs>
          <w:tab w:pos="11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5"/>
        <w:keepNext w:val="0"/>
        <w:keepLines w:val="0"/>
        <w:widowControl w:val="0"/>
        <w:numPr>
          <w:ilvl w:val="0"/>
          <w:numId w:val="1"/>
        </w:numPr>
        <w:shd w:val="clear" w:color="auto" w:fill="auto"/>
        <w:tabs>
          <w:tab w:pos="11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5"/>
        <w:keepNext w:val="0"/>
        <w:keepLines w:val="0"/>
        <w:widowControl w:val="0"/>
        <w:numPr>
          <w:ilvl w:val="0"/>
          <w:numId w:val="1"/>
        </w:numPr>
        <w:shd w:val="clear" w:color="auto" w:fill="auto"/>
        <w:tabs>
          <w:tab w:pos="141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административным регламентом Законом о контрактной системе, Комиссия Управления</w:t>
      </w:r>
      <w:r>
        <w:br w:type="page"/>
      </w:r>
    </w:p>
    <w:p>
      <w:pPr>
        <w:pStyle w:val="Style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5"/>
        <w:keepNext w:val="0"/>
        <w:keepLines w:val="0"/>
        <w:widowControl w:val="0"/>
        <w:numPr>
          <w:ilvl w:val="0"/>
          <w:numId w:val="3"/>
        </w:numPr>
        <w:shd w:val="clear" w:color="auto" w:fill="auto"/>
        <w:tabs>
          <w:tab w:pos="97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«ТЕХГАЗ» на действия комиссии ФГБУ «НИЦ «Курчатовский институт» необоснованной.</w:t>
      </w:r>
    </w:p>
    <w:p>
      <w:pPr>
        <w:pStyle w:val="Style5"/>
        <w:keepNext w:val="0"/>
        <w:keepLines w:val="0"/>
        <w:widowControl w:val="0"/>
        <w:numPr>
          <w:ilvl w:val="0"/>
          <w:numId w:val="3"/>
        </w:numPr>
        <w:shd w:val="clear" w:color="auto" w:fill="auto"/>
        <w:tabs>
          <w:tab w:pos="997" w:val="left"/>
        </w:tabs>
        <w:bidi w:val="0"/>
        <w:spacing w:before="0" w:after="280" w:line="240" w:lineRule="auto"/>
        <w:ind w:left="0" w:right="0" w:firstLine="700"/>
        <w:jc w:val="both"/>
      </w:pPr>
      <w:r>
        <w:rPr>
          <w:color w:val="000000"/>
          <w:spacing w:val="0"/>
          <w:w w:val="100"/>
          <w:position w:val="0"/>
          <w:shd w:val="clear" w:color="auto" w:fill="auto"/>
          <w:lang w:val="ru-RU" w:eastAsia="ru-RU" w:bidi="ru-RU"/>
        </w:rPr>
        <w:t>.Снять ограничения, наложенные на определение поставщика (подрядчика, исполнителя).</w:t>
      </w:r>
    </w:p>
    <w:p>
      <w:pPr>
        <w:pStyle w:val="Style5"/>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999" w:right="535" w:bottom="986" w:left="1089" w:header="0" w:footer="3" w:gutter="0"/>
          <w:cols w:space="720"/>
          <w:noEndnote/>
          <w:rtlGutter w:val="0"/>
          <w:docGrid w:linePitch="360"/>
        </w:sectPr>
      </w:pPr>
      <w:r>
        <mc:AlternateContent>
          <mc:Choice Requires="wps">
            <w:drawing>
              <wp:anchor distT="330200" distB="356870" distL="0" distR="0" simplePos="0" relativeHeight="125829382" behindDoc="0" locked="0" layoutInCell="1" allowOverlap="1">
                <wp:simplePos x="0" y="0"/>
                <wp:positionH relativeFrom="page">
                  <wp:posOffset>727710</wp:posOffset>
                </wp:positionH>
                <wp:positionV relativeFrom="paragraph">
                  <wp:posOffset>330200</wp:posOffset>
                </wp:positionV>
                <wp:extent cx="1850390" cy="252730"/>
                <wp:wrapTopAndBottom/>
                <wp:docPr id="11" name="Shape 11"/>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7" type="#_x0000_t202" style="position:absolute;margin-left:57.300000000000004pt;margin-top:26.pt;width:145.70000000000002pt;height:19.900000000000002pt;z-index:-125829371;mso-wrap-distance-left:0;mso-wrap-distance-top:26.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4" behindDoc="0" locked="0" layoutInCell="1" allowOverlap="1">
            <wp:simplePos x="0" y="0"/>
            <wp:positionH relativeFrom="page">
              <wp:posOffset>3114040</wp:posOffset>
            </wp:positionH>
            <wp:positionV relativeFrom="paragraph">
              <wp:posOffset>403225</wp:posOffset>
            </wp:positionV>
            <wp:extent cx="359410" cy="53657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359410"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3577590</wp:posOffset>
                </wp:positionH>
                <wp:positionV relativeFrom="paragraph">
                  <wp:posOffset>805815</wp:posOffset>
                </wp:positionV>
                <wp:extent cx="1280160" cy="103505"/>
                <wp:wrapNone/>
                <wp:docPr id="15" name="Shape 15"/>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5E5E5"/>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5E5E5"/>
                                <w:spacing w:val="0"/>
                                <w:w w:val="100"/>
                                <w:position w:val="0"/>
                                <w:sz w:val="11"/>
                                <w:szCs w:val="11"/>
                                <w:shd w:val="clear" w:color="auto" w:fill="auto"/>
                                <w:lang w:val="ru-RU" w:eastAsia="ru-RU" w:bidi="ru-RU"/>
                              </w:rPr>
                              <w:t xml:space="preserve">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wps:txbx>
                      <wps:bodyPr lIns="0" tIns="0" rIns="0" bIns="0">
                        <a:noAutoFit/>
                      </wps:bodyPr>
                    </wps:wsp>
                  </a:graphicData>
                </a:graphic>
              </wp:anchor>
            </w:drawing>
          </mc:Choice>
          <mc:Fallback>
            <w:pict>
              <v:shape id="_x0000_s1041" type="#_x0000_t202" style="position:absolute;margin-left:281.69999999999999pt;margin-top:63.450000000000003pt;width:100.8pt;height:8.15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5E5E5"/>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 xml:space="preserve">О </w:t>
                      </w:r>
                      <w:r>
                        <w:rPr>
                          <w:rFonts w:ascii="Arial" w:eastAsia="Arial" w:hAnsi="Arial" w:cs="Arial"/>
                          <w:color w:val="E5E5E5"/>
                          <w:spacing w:val="0"/>
                          <w:w w:val="100"/>
                          <w:position w:val="0"/>
                          <w:sz w:val="11"/>
                          <w:szCs w:val="11"/>
                          <w:shd w:val="clear" w:color="auto" w:fill="auto"/>
                          <w:lang w:val="ru-RU" w:eastAsia="ru-RU" w:bidi="ru-RU"/>
                        </w:rPr>
                        <w:t xml:space="preserve">СЕРТИФИКАТЕ </w:t>
                      </w:r>
                      <w:r>
                        <w:rPr>
                          <w:rFonts w:ascii="Arial" w:eastAsia="Arial" w:hAnsi="Arial" w:cs="Arial"/>
                          <w:color w:val="FFFFFF"/>
                          <w:spacing w:val="0"/>
                          <w:w w:val="100"/>
                          <w:position w:val="0"/>
                          <w:sz w:val="11"/>
                          <w:szCs w:val="11"/>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3534410</wp:posOffset>
                </wp:positionH>
                <wp:positionV relativeFrom="paragraph">
                  <wp:posOffset>494665</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69"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78.30000000000001pt;margin-top:38.950000000000003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69"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870" distL="0" distR="0" simplePos="0" relativeHeight="125829385" behindDoc="0" locked="0" layoutInCell="1" allowOverlap="1">
                <wp:simplePos x="0" y="0"/>
                <wp:positionH relativeFrom="page">
                  <wp:posOffset>6031230</wp:posOffset>
                </wp:positionH>
                <wp:positionV relativeFrom="paragraph">
                  <wp:posOffset>330200</wp:posOffset>
                </wp:positionV>
                <wp:extent cx="1182370" cy="252730"/>
                <wp:wrapTopAndBottom/>
                <wp:docPr id="19" name="Shape 19"/>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5" type="#_x0000_t202" style="position:absolute;margin-left:474.90000000000003pt;margin-top:26.pt;width:93.100000000000009pt;height:19.900000000000002pt;z-index:-125829368;mso-wrap-distance-left:0;mso-wrap-distance-top:26.pt;mso-wrap-distance-right:0;mso-wrap-distance-bottom:28.100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767676"/>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009Е4В25ВАЕ808О44Е0В7ВЕ0438СО11</w:t>
      </w:r>
      <w:r>
        <w:rPr>
          <w:color w:val="000000"/>
          <w:spacing w:val="0"/>
          <w:w w:val="100"/>
          <w:position w:val="0"/>
          <w:shd w:val="clear" w:color="auto" w:fill="auto"/>
          <w:lang w:val="ru-RU" w:eastAsia="ru-RU" w:bidi="ru-RU"/>
        </w:rPr>
        <w:t>2В</w:t>
      </w:r>
      <w:r>
        <w:rPr>
          <w:color w:val="000000"/>
          <w:spacing w:val="0"/>
          <w:w w:val="100"/>
          <w:position w:val="0"/>
          <w:shd w:val="clear" w:color="auto" w:fill="auto"/>
          <w:lang w:val="ru-RU" w:eastAsia="ru-RU" w:bidi="ru-RU"/>
        </w:rPr>
        <w:t>4</w:t>
      </w:r>
    </w:p>
    <w:p>
      <w:pPr>
        <w:pStyle w:val="Style25"/>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21.03.2024 </w:t>
      </w:r>
      <w:r>
        <w:rPr>
          <w:color w:val="76767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14.06.2025</w:t>
      </w:r>
    </w:p>
    <w:p>
      <w:pPr>
        <w:pStyle w:val="Style5"/>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5"/>
        <w:keepNext w:val="0"/>
        <w:keepLines w:val="0"/>
        <w:widowControl w:val="0"/>
        <w:shd w:val="clear" w:color="auto" w:fill="auto"/>
        <w:bidi w:val="0"/>
        <w:spacing w:before="0" w:after="390" w:line="240" w:lineRule="auto"/>
        <w:ind w:left="1260" w:right="0" w:firstLine="0"/>
        <w:jc w:val="left"/>
      </w:pPr>
      <w:r>
        <w:drawing>
          <wp:anchor distT="0" distB="0" distL="114300" distR="1900555" simplePos="0" relativeHeight="125829387" behindDoc="0" locked="0" layoutInCell="1" allowOverlap="1">
            <wp:simplePos x="0" y="0"/>
            <wp:positionH relativeFrom="page">
              <wp:posOffset>3105150</wp:posOffset>
            </wp:positionH>
            <wp:positionV relativeFrom="paragraph">
              <wp:posOffset>50800</wp:posOffset>
            </wp:positionV>
            <wp:extent cx="365760" cy="40830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65760" cy="40830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3535045</wp:posOffset>
                </wp:positionH>
                <wp:positionV relativeFrom="paragraph">
                  <wp:posOffset>148590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8.35000000000002pt;margin-top:11.700000000000001pt;width:135.59999999999999pt;height:20.400000000000002pt;z-index:251657733;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Леонова</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4540" w:right="0" w:firstLine="0"/>
        <w:jc w:val="left"/>
        <w:rPr>
          <w:sz w:val="11"/>
          <w:szCs w:val="11"/>
        </w:rPr>
      </w:pPr>
      <w:r>
        <w:rPr>
          <w:color w:val="FFFFFF"/>
          <w:spacing w:val="0"/>
          <w:w w:val="100"/>
          <w:position w:val="0"/>
          <w:sz w:val="11"/>
          <w:szCs w:val="11"/>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767676"/>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Леонова Алена Альбертовна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009389Р972АА570Е2201</w:t>
      </w:r>
      <w:r>
        <w:rPr>
          <w:color w:val="262626"/>
          <w:spacing w:val="0"/>
          <w:w w:val="100"/>
          <w:position w:val="0"/>
          <w:shd w:val="clear" w:color="auto" w:fill="auto"/>
          <w:lang w:val="ru-RU" w:eastAsia="ru-RU" w:bidi="ru-RU"/>
        </w:rPr>
        <w:t>9Е7С5Ю28В0906</w:t>
      </w:r>
    </w:p>
    <w:p>
      <w:pPr>
        <w:pStyle w:val="Style25"/>
        <w:keepNext w:val="0"/>
        <w:keepLines w:val="0"/>
        <w:widowControl w:val="0"/>
        <w:shd w:val="clear" w:color="auto" w:fill="auto"/>
        <w:bidi w:val="0"/>
        <w:spacing w:before="0" w:after="58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62626"/>
          <w:spacing w:val="0"/>
          <w:w w:val="100"/>
          <w:position w:val="0"/>
          <w:shd w:val="clear" w:color="auto" w:fill="auto"/>
          <w:lang w:val="ru-RU" w:eastAsia="ru-RU" w:bidi="ru-RU"/>
        </w:rPr>
        <w:t xml:space="preserve">20.09.2024 </w:t>
      </w:r>
      <w:r>
        <w:rPr>
          <w:color w:val="767676"/>
          <w:spacing w:val="0"/>
          <w:w w:val="100"/>
          <w:position w:val="0"/>
          <w:shd w:val="clear" w:color="auto" w:fill="auto"/>
          <w:lang w:val="ru-RU" w:eastAsia="ru-RU" w:bidi="ru-RU"/>
        </w:rPr>
        <w:t>по 14.12.2025</w:t>
      </w:r>
    </w:p>
    <w:p>
      <w:pPr>
        <w:pStyle w:val="Style5"/>
        <w:keepNext w:val="0"/>
        <w:keepLines w:val="0"/>
        <w:widowControl w:val="0"/>
        <w:shd w:val="clear" w:color="auto" w:fill="auto"/>
        <w:bidi w:val="0"/>
        <w:spacing w:before="0" w:after="395" w:line="240" w:lineRule="auto"/>
        <w:ind w:left="1020" w:right="0" w:firstLine="0"/>
        <w:jc w:val="left"/>
      </w:pPr>
      <w:r>
        <w:drawing>
          <wp:anchor distT="0" distB="0" distL="114300" distR="1918970" simplePos="0" relativeHeight="125829388" behindDoc="0" locked="0" layoutInCell="1" allowOverlap="1">
            <wp:simplePos x="0" y="0"/>
            <wp:positionH relativeFrom="page">
              <wp:posOffset>3141980</wp:posOffset>
            </wp:positionH>
            <wp:positionV relativeFrom="paragraph">
              <wp:posOffset>76200</wp:posOffset>
            </wp:positionV>
            <wp:extent cx="311150" cy="36576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3535045</wp:posOffset>
                </wp:positionH>
                <wp:positionV relativeFrom="paragraph">
                  <wp:posOffset>146050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8.35000000000002pt;margin-top:11.5pt;width:135.59999999999999pt;height:20.15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М.В.Сорбучева</w: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left="4540" w:right="0" w:firstLine="0"/>
        <w:jc w:val="left"/>
        <w:rPr>
          <w:sz w:val="11"/>
          <w:szCs w:val="11"/>
        </w:rPr>
      </w:pPr>
      <w:r>
        <w:rPr>
          <w:color w:val="E5E5E5"/>
          <w:spacing w:val="0"/>
          <w:w w:val="100"/>
          <w:position w:val="0"/>
          <w:sz w:val="11"/>
          <w:szCs w:val="11"/>
          <w:shd w:val="clear" w:color="auto" w:fill="auto"/>
          <w:lang w:val="ru-RU" w:eastAsia="ru-RU" w:bidi="ru-RU"/>
        </w:rPr>
        <w:t xml:space="preserve">СВЕДЕНИЯ </w:t>
      </w:r>
      <w:r>
        <w:rPr>
          <w:color w:val="FFFFFF"/>
          <w:spacing w:val="0"/>
          <w:w w:val="100"/>
          <w:position w:val="0"/>
          <w:sz w:val="11"/>
          <w:szCs w:val="11"/>
          <w:shd w:val="clear" w:color="auto" w:fill="auto"/>
          <w:lang w:val="ru-RU" w:eastAsia="ru-RU" w:bidi="ru-RU"/>
        </w:rPr>
        <w:t xml:space="preserve">О </w:t>
      </w:r>
      <w:r>
        <w:rPr>
          <w:color w:val="E5E5E5"/>
          <w:spacing w:val="0"/>
          <w:w w:val="100"/>
          <w:position w:val="0"/>
          <w:sz w:val="11"/>
          <w:szCs w:val="11"/>
          <w:shd w:val="clear" w:color="auto" w:fill="auto"/>
          <w:lang w:val="ru-RU" w:eastAsia="ru-RU" w:bidi="ru-RU"/>
        </w:rPr>
        <w:t>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767676"/>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00ЕЗВ71218Е970424В4В41С7997434Е304</w:t>
      </w:r>
    </w:p>
    <w:p>
      <w:pPr>
        <w:pStyle w:val="Style25"/>
        <w:keepNext w:val="0"/>
        <w:keepLines w:val="0"/>
        <w:widowControl w:val="0"/>
        <w:shd w:val="clear" w:color="auto" w:fill="auto"/>
        <w:bidi w:val="0"/>
        <w:spacing w:before="0" w:after="24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19.09.2024 </w:t>
      </w:r>
      <w:r>
        <w:rPr>
          <w:color w:val="76767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13.12.2025</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729615</wp:posOffset>
              </wp:positionH>
              <wp:positionV relativeFrom="page">
                <wp:posOffset>10107295</wp:posOffset>
              </wp:positionV>
              <wp:extent cx="646430" cy="100330"/>
              <wp:wrapNone/>
              <wp:docPr id="5" name="Shape 5"/>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2025-3598</w:t>
                          </w:r>
                        </w:p>
                      </w:txbxContent>
                    </wps:txbx>
                    <wps:bodyPr wrap="none" lIns="0" tIns="0" rIns="0" bIns="0">
                      <a:spAutoFit/>
                    </wps:bodyPr>
                  </wps:wsp>
                </a:graphicData>
              </a:graphic>
            </wp:anchor>
          </w:drawing>
        </mc:Choice>
        <mc:Fallback>
          <w:pict>
            <v:shape id="_x0000_s1031" type="#_x0000_t202" style="position:absolute;margin-left:57.450000000000003pt;margin-top:795.85000000000002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2025-3598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646430" cy="100330"/>
              <wp:wrapNone/>
              <wp:docPr id="7" name="Shape 7"/>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2025-3598</w:t>
                          </w:r>
                        </w:p>
                      </w:txbxContent>
                    </wps:txbx>
                    <wps:bodyPr wrap="none" lIns="0" tIns="0" rIns="0" bIns="0">
                      <a:spAutoFit/>
                    </wps:bodyPr>
                  </wps:wsp>
                </a:graphicData>
              </a:graphic>
            </wp:anchor>
          </w:drawing>
        </mc:Choice>
        <mc:Fallback>
          <w:pict>
            <v:shape id="_x0000_s1033" type="#_x0000_t202" style="position:absolute;margin-left:57.pt;margin-top:804.5pt;width:50.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2025-3598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490855</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29" type="#_x0000_t202" style="position:absolute;margin-left:309.19999999999999pt;margin-top:38.649999999999999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6">
    <w:name w:val="Основной текст_"/>
    <w:basedOn w:val="DefaultParagraphFont"/>
    <w:link w:val="Style5"/>
    <w:rPr>
      <w:rFonts w:ascii="Times New Roman" w:eastAsia="Times New Roman" w:hAnsi="Times New Roman" w:cs="Times New Roman"/>
      <w:b w:val="0"/>
      <w:bCs w:val="0"/>
      <w:i w:val="0"/>
      <w:iCs w:val="0"/>
      <w:smallCaps w:val="0"/>
      <w:strike w:val="0"/>
      <w:sz w:val="28"/>
      <w:szCs w:val="28"/>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Подпись к картинке_"/>
    <w:basedOn w:val="DefaultParagraphFont"/>
    <w:link w:val="Style15"/>
    <w:rPr>
      <w:rFonts w:ascii="Georgia" w:eastAsia="Georgia" w:hAnsi="Georgia" w:cs="Georgia"/>
      <w:b w:val="0"/>
      <w:bCs w:val="0"/>
      <w:i w:val="0"/>
      <w:iCs w:val="0"/>
      <w:smallCaps w:val="0"/>
      <w:strike w:val="0"/>
      <w:color w:val="262626"/>
      <w:sz w:val="10"/>
      <w:szCs w:val="10"/>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4"/>
      <w:szCs w:val="34"/>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525252"/>
      <w:sz w:val="12"/>
      <w:szCs w:val="12"/>
      <w:u w:val="none"/>
    </w:rPr>
  </w:style>
  <w:style w:type="character" w:customStyle="1" w:styleId="CharStyle34">
    <w:name w:val="Основной текст (4)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5">
    <w:name w:val="Основной текст"/>
    <w:basedOn w:val="Normal"/>
    <w:link w:val="CharStyle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Подпись к картинке"/>
    <w:basedOn w:val="Normal"/>
    <w:link w:val="CharStyle16"/>
    <w:pPr>
      <w:widowControl w:val="0"/>
      <w:shd w:val="clear" w:color="auto" w:fill="auto"/>
      <w:spacing w:line="264" w:lineRule="auto"/>
    </w:pPr>
    <w:rPr>
      <w:rFonts w:ascii="Georgia" w:eastAsia="Georgia" w:hAnsi="Georgia" w:cs="Georgia"/>
      <w:b w:val="0"/>
      <w:bCs w:val="0"/>
      <w:i w:val="0"/>
      <w:iCs w:val="0"/>
      <w:smallCaps w:val="0"/>
      <w:strike w:val="0"/>
      <w:color w:val="262626"/>
      <w:sz w:val="10"/>
      <w:szCs w:val="10"/>
      <w:u w:val="none"/>
    </w:rPr>
  </w:style>
  <w:style w:type="paragraph" w:customStyle="1" w:styleId="Style20">
    <w:name w:val="Заголовок №1"/>
    <w:basedOn w:val="Normal"/>
    <w:link w:val="CharStyle21"/>
    <w:pPr>
      <w:widowControl w:val="0"/>
      <w:shd w:val="clear" w:color="auto" w:fill="auto"/>
      <w:ind w:firstLine="360"/>
      <w:outlineLvl w:val="0"/>
    </w:pPr>
    <w:rPr>
      <w:rFonts w:ascii="Arial" w:eastAsia="Arial" w:hAnsi="Arial" w:cs="Arial"/>
      <w:b w:val="0"/>
      <w:bCs w:val="0"/>
      <w:i w:val="0"/>
      <w:iCs w:val="0"/>
      <w:smallCaps w:val="0"/>
      <w:strike w:val="0"/>
      <w:sz w:val="34"/>
      <w:szCs w:val="34"/>
      <w:u w:val="none"/>
    </w:rPr>
  </w:style>
  <w:style w:type="paragraph" w:customStyle="1" w:styleId="Style25">
    <w:name w:val="Основной текст (2)"/>
    <w:basedOn w:val="Normal"/>
    <w:link w:val="CharStyle26"/>
    <w:pPr>
      <w:widowControl w:val="0"/>
      <w:shd w:val="clear" w:color="auto" w:fill="auto"/>
      <w:spacing w:after="40"/>
      <w:ind w:left="3840"/>
    </w:pPr>
    <w:rPr>
      <w:rFonts w:ascii="Arial" w:eastAsia="Arial" w:hAnsi="Arial" w:cs="Arial"/>
      <w:b w:val="0"/>
      <w:bCs w:val="0"/>
      <w:i w:val="0"/>
      <w:iCs w:val="0"/>
      <w:smallCaps w:val="0"/>
      <w:strike w:val="0"/>
      <w:color w:val="525252"/>
      <w:sz w:val="12"/>
      <w:szCs w:val="12"/>
      <w:u w:val="none"/>
    </w:rPr>
  </w:style>
  <w:style w:type="paragraph" w:customStyle="1" w:styleId="Style33">
    <w:name w:val="Основной текст (4)"/>
    <w:basedOn w:val="Normal"/>
    <w:link w:val="CharStyle3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