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164080" distL="1174750" distR="1120775" simplePos="0" relativeHeight="125829378" behindDoc="0" locked="0" layoutInCell="1" allowOverlap="1">
            <wp:simplePos x="0" y="0"/>
            <wp:positionH relativeFrom="page">
              <wp:posOffset>1784350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723900</wp:posOffset>
                </wp:positionH>
                <wp:positionV relativeFrom="paragraph">
                  <wp:posOffset>622300</wp:posOffset>
                </wp:positionV>
                <wp:extent cx="2578735" cy="216090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2160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1о77@Га8.еоу.ги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2" w:val="left"/>
                                <w:tab w:leader="underscore" w:pos="3926" w:val="left"/>
                              </w:tabs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7.pt;margin-top:49.pt;width:203.05000000000001pt;height:170.15000000000001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9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1о77@Га8.еоу.ги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2" w:val="left"/>
                          <w:tab w:leader="underscore" w:pos="3926" w:val="left"/>
                        </w:tabs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ab/>
                        <w:t xml:space="preserve"> №</w:t>
                        <w:tab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702310</wp:posOffset>
                </wp:positionH>
                <wp:positionV relativeFrom="paragraph">
                  <wp:posOffset>5413375</wp:posOffset>
                </wp:positionV>
                <wp:extent cx="2255520" cy="1228090"/>
                <wp:wrapSquare wrapText="bothSides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55520" cy="12280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70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Специалиста-эксперта А.И. Рахматуллаева,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70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Специалиста-эксперта О.А. Челновой, рассмотрение жалобы конференц-связи),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5.300000000000004pt;margin-top:426.25pt;width:177.59999999999999pt;height:96.700000000000003pt;z-index:-12582937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70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Специалиста-эксперта А.И. Рахматуллаева,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70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Специалиста-эксперта О.А. Челновой, рассмотрение жалобы конференц-связи),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«МКНЦ им. А.С. Логинова ДЗМ»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V.8.поV^коV@ткпс.^и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«Систематика»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20" w:line="240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т&amp;@8у§1:ета11ка1.ги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952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  <w:br/>
        <w:t>по делу № 077/06/106-929/2025 о нарушении</w:t>
        <w:br/>
        <w:t>законодательства о контрактной системе</w:t>
        <w:br/>
        <w:t>29.01.2025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г. Москве по контролю в сфере закупок (далее - Комиссия Управления) в составе: Председательствующего - заместителя начальника отдела обжалования государственных закупок Е.А. Мироновой, 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1104" w:val="left"/>
          <w:tab w:pos="3034" w:val="left"/>
          <w:tab w:pos="5448" w:val="left"/>
        </w:tabs>
        <w:bidi w:val="0"/>
        <w:spacing w:before="0" w:after="0" w:line="48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отдела</w:t>
        <w:tab/>
        <w:t>обжалования</w:t>
        <w:tab/>
        <w:t>государственных</w:t>
        <w:tab/>
        <w:t>закупок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отдела обжалования государственных закупок проводилось дистанционно (посредством видео-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00" w:right="0" w:hanging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 ООО «Систематика»: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ГБУЗ «МКНЦ им. А.С. Логинова ДЗМ», о времени и порядке заседания Комиссии Управления уведомленных посредством функционала Единой информационной системы,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«Систематика» (далее — Заявитель) на действия ГБУЗ «МКНЦ им. А.С. Логинова ДЗМ» (далее — Заказчик) при проведении запроса котировок в электронной форме на право заключения государственного контракта на поставку расходных материалов для бактериологической лаборатории (Этап 21) в 2025 году для нужд ГБУЗ МКНЦ имени А.С. Логинова ДЗМ (Закупка №0373200022225000003) (далее — запрос котировок),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— Закон о контрактной системе),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298" w:right="503" w:bottom="621" w:left="1106" w:header="0" w:footer="3" w:gutter="0"/>
          <w:pgNumType w:start="1"/>
          <w:cols w:space="720"/>
          <w:noEndnote/>
          <w:rtlGutter w:val="0"/>
          <w:docGrid w:linePitch="360"/>
        </w:sectPr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запроса котировок.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Заказчиком представлены запрашиваемые Московским УФАС России документы и сведения.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Согласно доводам жалобы Заказчиком направлен проект государственного контракта на подписание победителю аукциона в лице ООО «Систематика» без учета преимуществ, предусмотренных статьей 29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протоколу подведения итогов определения поставщика (подрядчика, исполнителя) от 29.11.2024 №0373200006224001554 участник закупки ООО «Систематика» признан победителем электронного аукциона, ценовое предложение которого составило 1 499 000,00 рублей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п.13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информация о предоставлении преимущества в соответствии со ст. 28 и 29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ч.1 ст.29 Закона о контрактной системе в случае заключения по результатам применения конкурентных способов контракта с участником закупки, являющимся организацией инвалидов, цена контракта, цена каждой единицы товара, работы, услуги (в случае, предусмотренном ч.24 ст.22 Закона о контрактной системе) увеличивается на пятнадцать процентов соответственно от цены контракта, предложенной таким участником закупки, от цены единицы товара, работы, услуги, определенной в соответствии с Законом о контрактной системе на основании предложения такого участника о сумме цен единиц товара, работы, услуги. Предусмотренное настоящей частью увеличение не может превышать начальную (максимальную) цену контракта, начальные цены единиц товара, работы, услуги.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соответствии с ч.2 ст.29 Закона о контрактной системе действие ст.29 Закона о контрактной системе распространяется на общероссийские общественные организации инвалидов (в том числе созданные как союзы общественных организаций инвалидов), среди членов которых инвалиды и их законные представители составляют не менее чем восемьдесят процентов, и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организации, уставный (складочный) капитал которых полностью состоит из вкладов общероссийских общественных организаций инвалидов и среднесписочная численность инвалидов в которых по отношению к другим работникам составляет не менее чем пятьдесят процентов, а доля оплаты труда инвалидов в фонде оплаты труда - не менее чем двадцать пять процентов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силу абз. 2 ст. 33 Федерального закона от 24.11.1995 № 181-ФЗ «О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социальной защите инвалидов в Российской Федерации» общественными организациями инвалидов признаются организации, созданные инвалидами и лицами, представляющими их интересы, в целях защиты прав и законных интересов инвалидов, обеспечения им равных с другими гражданами возможностей, решения задач общественной интеграции инвалидов, среди членов которых инвалиды и их законные представители (один из родителей, усыновителей, опекун или попечитель) составляют не менее 80 процентов, а также союзы (ассоциации) указанных организаций.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Статьей 7 Федерального закона от 19.05.1995 № 82-ФЗ «Об общественных объединениях» (далее - Закон об общественных объединениях) установлены организационно-правовые формы, в которых могут создаваться общественные объединения, в том числе, в форме общественной организации.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согласно ст. 14 Закона об общественных объединениях в Российской Федерации создаются и действуют общероссийские, межрегиональные, региональные и местные общественные объединения. Под общероссийским общественным объединением понимается объединение, которое осуществляет свою деятельность в соответствии с уставными целями на территориях более половины субъектов Российской Федерации и имеет там свои структурные подразделения - организации, отделения или филиалы и представительства. Под региональным общественным объединением понимается объединение, деятельность которого в соответствии с его уставными целями осуществляется в пределах территории одного субъекта Российской Федерации.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извещением Заказчиком установлены преимущества в отношении участников закупки, являющимися организациями инвалидов в соответствии со ст. 29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 «к» п.1 ч.1 ст.43 Закона о контрактной системе для участия в конкурентном способе заявка на участие в закупке должна содержать декларацию о принадлежности участника закупки к организации инвалидов, предусмотренной ч.2 ст.29 Закона о контрактной системе (если участник закупки является такой организацией).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п.2 ч.6 ст.43 Закона о контрактной системе при проведении электронных процедур, закрытых электронных процедур информация и документы, предусмотренные подпунктами «а» - «л» п.1 ч.1 ст.43 Закона о контрактной системе, не включаются участником закупки в заявку на участие в закупке. Такие информация и документы в случаях, предусмотренных Законом о контрактной системе, направляются (по состоянию на дату и время их направления) заказчику оператором электронной площадки, оператором специализированной электронной площадки путем информационного взаимодействия с единой информационной системой.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заявки Заявителя представлена декларация о том, что участник закупки относится к организациям инвалидов и соответствует критериям, установленным ч. 2 ст. 29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Комиссией Управления установлено, что, согласно выписке из ЕГРЮЛ,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учредителем ООО «Систематика» является Общероссийская общественная организация инвалидов «Российское общество интеграции и адаптации инвалидов», со 100% долей участия.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Заявитель относится к организациям, уставный (складочный) капитал которых полностью состоит из вкладов общероссийских общественных организаций инвалидов, а также среднесписочная численность инвалидов по отношению к другим работникам составляет не менее чем пятьдесят процентов, а доля оплаты труда инвалидов в фонде оплаты труда - не менее чем двадцать пять процентов.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Ч.6 ст.50 Закона о контрактной системе установлено, что заключение контракта по результатам проведения электронного запроса котировок осуществляется в порядке, установленном ст.51 Закона о контрактной системе, с учетом установленных настоящей частью особенностей.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силу пп. «б» п.1 ч.2 ст.51 Закона о контрактной системе не позднее двух рабочих дней, следующих за днем размещения в единой информационной системе протоколов, указанных в ч.1 ст.51 Закона о контрактной системе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формирует с использованием единой информационной системы и размещает в единой информационной системе (без размещения на официальном сайте) и на электронной площадке (с использованием единой информационной системы) без своей подписи проект контракта, указанный в п.5 ч.2 ст.42 Закона о контрактной системе, который должен содержать цену контракта, соответствующую цене контракта, предложенной в соответствии с Законом о контрактной системе участником закупки, с которым заключается контракт, с учетом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положений нормативных правовых актов, принятых в соответствии со ст.14 Закона о контрактной системе,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положений статей 28 и 29 Закона о контрактной системе,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цену каждого отдельного этапа исполнения контракта, определенную в соответствии с ч.2 ст.34 Закона о контрактной системе (если проектом контракта предусмотрены отдельные этапы его исполнения). Предусмотренная настоящим подпунктом информация включается в проект контракта, за исключением случаев включения в него информации, предусмотренной пп. «в» или «г» п.1 ч.2 ст.51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таких данных цена контракта, направленного Заявителю должна быть увеличена на пятнадцать процентов соответственно от цены контракта, предложенной таким участником закупки, то есть составлять 1 723 850,00 рублей.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Комисс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ей Управления устан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влено, что 22.01.2025 Заказчиком в единой информационной системе размещен проект контракта, содержащий в с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бе информацию о цене контракта 1 499 000,00 рублей, что противоречит пп. «б» п.1 ч.2 ст.51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Заказчиком направлено ходатайство о рассмотрении данной жалобы в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отсутствие представителя Заказчика. Данное ходатайство удовлетворено Комиссией Управления.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письменным возражениям Заказчика, ввиду технической ошибки при формировании контракта, ошибочно направлен проект контракта без учета преимуществ, предусмотренных ст.29 Закона о контрактной системе. Ввиду того, что внести изменения в карточку контракта Заказчику самостоятельно не представлялось возможным, Заказчиком были направлены обращения в службу технической поддержки ЕАИСТ и ЕИС, однако через техническую поддержку внести необходимые изменения в цену заключаемого контракта не удалось.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468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Комиссия Управления приходит к выводу о нарушении Заказчиком положений пп. «б» п.1 ч.2 ст.51, ч.1 ст.29 Закона о контрактной системе, поскольку Заказчиком направлен проект контракта на подписание ООО «Систематика» без учета преимуществ предусмотренных ст. 29 Закона о контрактной системе, что также свидетельствует о наличии в действиях Заказчика признаков состава административного правонарушения, ответственность за которое предусмотрена ч.1</w:t>
        <w:tab/>
        <w:t>ст.7.32 Кодекса Российской Федерации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Также, согласно доводам жалобы, в направленном проекте контракта по п.5 «Тупфер назофарингеальный» неверно указан номер регистрационного удостоверения изделия, предложенного Заявителем к поставке.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Так, в составе проекта контракта, направленного участнику закупки, содержатся следующие сведения в отношении рассматриваемой позиции: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Наименование товара: Тупфер назофарингеальный,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Наименование медицинского изделия в соответствии с регистрационным удостоверением: Тампон-зонд МиниМед стерильный ТУ 32.50.50-034-29508133</w:t>
        <w:softHyphen/>
        <w:t>2020, регистрационный номер медицинского изделия: РЗН 2021/1579.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 этом представитель Заявителя отмечает, что верный номер регистрационного удостоверения на данный товар является № РЗН 2021/15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79 от 26 октября 2021 г.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ходе заседания Комиссией Управления установлено, что в составе структурированной формы заявки участника номер регистрационного удостоверения по рассматриваемой позиции указан следующим образом: «РЗН 2021/1579».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этим в составе заявки, согласно требованиям к содержанию, составу заявки на участие в закупке, участником приложена копия регистрационного удостоверения от 26 октября 2021 года №РЗН 2021/15079 на медицинское изделие «Тампон-зонд МиниМед стерильный ТУ 32.50.50-034-29508133-2020».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ст.34 Закона о контрактной системе контракт заключается на условиях, предусмотренных извещением об осуществлении закупки или приглашением, документацией о закупке, заявкой участника закупки, с которым заключается контракт, за исключением случаев, в которых в соответствии с Законом о контрактной системе извещение об осуществлении закупки или приглашение, документация о закупке, заявка не предусмотрены.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 ч.2 ст.51 Закона о контрактной системе не позднее двух рабочих дней, следующих за днем размещения в единой информационной системе протоколов, указанных в ч.1 ст.51 Закона о контрактной системе, заказчик формирует с использованием единой информационной системы и размещает в единой информационной системе (без размещения на официальном сайте) и на электронной площадке (с использованием единой информационной системы) без своей подписи проект контракта, указанный в п.5 ч.2 ст.42 Закона о контрактной системе, который должен содержать: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информацию, предусмотренную ч.6 ст.30 Закона о контрактной системе, п.1, 2, 5 - 8, 10, 17, 18 и 20 ч.1 ст.42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цену контракта, соответствующую цене контракта, предложенной в соответствии с Законом о контрактной системе участником закупки, с которым заключается контракт, с учетом положений нормативных правовых актов, принятых в соответствии со ст.14 Закона о контрактной системе, положений ст.28 и 29 Закона о контрактной системе, цену каждого отдельного этапа исполнения контракта, определенную в соответствии с ч.2 ст.34 Закона о контрактной системе (если проектом контракта предусмотрены отдельные этапы его исполнения). Предусмотренная настоящим подпунктом информация включается в проект контракта, за исключением случаев включения в него информации, предусмотренной пп.«в» или «г» п.1 ч.2 ст.51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максимальное значение цены контракта и цену единицы товара, работы, услуги, соответствующие максимальному значению цены контракта, указанному в извещении об осуществлении закупки, с учетом положений нормативных правовых актов, принятых в соответствии со ст.14 Закона о контрактной системе, положений ст.28 и 29 Закона о контрактной системе (в случае, предусмотренном ч.24 ст.22 Закона о контрактной системе). При этом цена единицы товара, работы, услуги определяется путем уменьшения начальной цены такой единицы, указанной в извещении об осуществлении закупки, пропорционально снижению начальной суммы цен единиц товаров, работ, услуг, предложенному участником закупки, с которым заключается контракт;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размер платы, подлежащей внесению в соответствии с Законом о контрактной системе участником закупки, с которым заключается контракт, за заключение контракта на счет, на котором в соответствии с законодательством Российской Федерации учитываются операции со средствами, поступающими заказчику (в случаях, предусмотренных Законом о контрактной системе);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информацию, предусмотренную пп.«а», «б», «г», «е» и «п» п.1, пп.«а» и «б» п.2 ч.1 ст.43 Закона о контрактной системе, а также информацию, предусмотренную пп.«г» п.2 ч.1 ст.43 Закона о контрактной системе, в случае проведения электронного конкурса. При этом информация, предусмотренная пп.«а», «б», «г» и «е» п.1 ч.1 ст.43 Закона о контрактной системе, указывается с использованием единой информационной системы по состоянию на дату и время формирования проекта контракта;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7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иные документы (при наличии).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отмечает, что из совокупности документов и сведений, наличествующих в составе заявки участника, а также учитывая те обстоятельства, что комиссией Заказчика принято решение о признании заявки соответствующей, в проекте контракта Заказчику следовало отразить корректный номер регистрационного удостоверения на предлагаемый Заявителем товар по п. 5.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выводу, что проект контракта размещен Заказчиком не на условиях заявки участника, что противоречит требованиям ч.1 ст.34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 о нарушении Заказчиком ч.1 ст.34, пп.«д» п.1 ч.2 ст.51 Закона о контрактной системе при размещении проекта контракта, предусмотренного ч.2 ст.51 Закона о контрактной системе, что также свидетельствует о наличии в действиях Заказчика признаков состава административного правонарушения, ответственность за которое предусмотрена ч.1 ст.7.32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sectPr>
          <w:headerReference w:type="default" r:id="rId8"/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1158" w:right="536" w:bottom="1758" w:left="1091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положениями Закона о контрактной системе, Комиссия Управления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1.Признать жалобу ООО «Систематика» на действия ГБУЗ «МКНЦ им. А.С. Логинова ДЗМ» обоснованной.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2.Признать в действиях Заказчика нарушение ч.1 ст.29, ч.1 ст.34, пп. «в»,«д» п.1 ч.2 ст.51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3.Обязательное для исполнения предписание об устранении нарушений законодательства о контрактной системе Заказчику не выдавать, поскольку по результатам проведения закупки заключен контракт № 0373200022225000003 от 24.01.2025 и восстановление законных прав и интересов Заявителя возможно исключительно в судебном порядке.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4.Передать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установленным гл. 24 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58" w:right="527" w:bottom="1993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356235" distL="0" distR="0" simplePos="0" relativeHeight="125829383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330200</wp:posOffset>
                </wp:positionV>
                <wp:extent cx="1896110" cy="25019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611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7.950000000000003pt;margin-top:26.pt;width:149.30000000000001pt;height:19.699999999999999pt;z-index:-125829370;mso-wrap-distance-left:0;mso-wrap-distance-top:26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67030" distB="0" distL="0" distR="1789430" simplePos="0" relativeHeight="125829385" behindDoc="0" locked="0" layoutInCell="1" allowOverlap="1">
            <wp:simplePos x="0" y="0"/>
            <wp:positionH relativeFrom="page">
              <wp:posOffset>3074035</wp:posOffset>
            </wp:positionH>
            <wp:positionV relativeFrom="paragraph">
              <wp:posOffset>367030</wp:posOffset>
            </wp:positionV>
            <wp:extent cx="389890" cy="572770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3570605</wp:posOffset>
                </wp:positionH>
                <wp:positionV relativeFrom="paragraph">
                  <wp:posOffset>805815</wp:posOffset>
                </wp:positionV>
                <wp:extent cx="1280160" cy="10033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81.15000000000003pt;margin-top:63.450000000000003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492125</wp:posOffset>
                </wp:positionV>
                <wp:extent cx="1725295" cy="25590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77.55000000000001pt;margin-top:38.75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356235" distL="0" distR="0" simplePos="0" relativeHeight="125829386" behindDoc="0" locked="0" layoutInCell="1" allowOverlap="1">
                <wp:simplePos x="0" y="0"/>
                <wp:positionH relativeFrom="page">
                  <wp:posOffset>6039485</wp:posOffset>
                </wp:positionH>
                <wp:positionV relativeFrom="paragraph">
                  <wp:posOffset>330200</wp:posOffset>
                </wp:positionV>
                <wp:extent cx="1182370" cy="25019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23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Е.А. Миронова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75.55000000000001pt;margin-top:26.pt;width:93.100000000000009pt;height:19.699999999999999pt;z-index:-125829367;mso-wrap-distance-left:0;mso-wrap-distance-top:26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Е.А. Миронова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8686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Миронова Елена Александровна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3E3E3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E3E3E"/>
          <w:spacing w:val="0"/>
          <w:w w:val="100"/>
          <w:position w:val="0"/>
          <w:shd w:val="clear" w:color="auto" w:fill="auto"/>
          <w:lang w:val="ru-RU" w:eastAsia="ru-RU" w:bidi="ru-RU"/>
        </w:rPr>
        <w:t>009Е4В25ЭАЕ808О44Е0В7ВЕ0438СО1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12В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3E3E3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>21.03.2024 по 14.06.2025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660"/>
        <w:jc w:val="left"/>
      </w:pPr>
      <w:r>
        <w:drawing>
          <wp:anchor distT="0" distB="0" distL="114300" distR="1903730" simplePos="0" relativeHeight="125829388" behindDoc="0" locked="0" layoutInCell="1" allowOverlap="1">
            <wp:simplePos x="0" y="0"/>
            <wp:positionH relativeFrom="page">
              <wp:posOffset>3073400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3569970</wp:posOffset>
                </wp:positionH>
                <wp:positionV relativeFrom="paragraph">
                  <wp:posOffset>461010</wp:posOffset>
                </wp:positionV>
                <wp:extent cx="1280160" cy="1035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E8E8E8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81.10000000000002pt;margin-top:36.300000000000004pt;width:100.8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Fonts w:ascii="Arial" w:eastAsia="Arial" w:hAnsi="Arial" w:cs="Arial"/>
                          <w:color w:val="E8E8E8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3524250</wp:posOffset>
                </wp:positionH>
                <wp:positionV relativeFrom="paragraph">
                  <wp:posOffset>150495</wp:posOffset>
                </wp:positionV>
                <wp:extent cx="1725295" cy="2559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77.5pt;margin-top:11.85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А.И. Рахматуллаев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Рахматуллаев Алексей Ильич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7АЕЕ97А08С8432425Е146Е6255А521СЗ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12.1</w:t>
      </w:r>
      <w:r>
        <w:rPr>
          <w:color w:val="939393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05.02.2026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1280" w:right="0" w:firstLine="0"/>
        <w:jc w:val="left"/>
      </w:pPr>
      <w:r>
        <w:drawing>
          <wp:anchor distT="0" distB="0" distL="114300" distR="1903730" simplePos="0" relativeHeight="125829389" behindDoc="0" locked="0" layoutInCell="1" allowOverlap="1">
            <wp:simplePos x="0" y="0"/>
            <wp:positionH relativeFrom="page">
              <wp:posOffset>3073400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3569970</wp:posOffset>
                </wp:positionH>
                <wp:positionV relativeFrom="paragraph">
                  <wp:posOffset>464185</wp:posOffset>
                </wp:positionV>
                <wp:extent cx="1280160" cy="100330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E8E8E8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81.10000000000002pt;margin-top:36.550000000000004pt;width:100.8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Fonts w:ascii="Arial" w:eastAsia="Arial" w:hAnsi="Arial" w:cs="Arial"/>
                          <w:color w:val="E8E8E8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3524250</wp:posOffset>
                </wp:positionH>
                <wp:positionV relativeFrom="paragraph">
                  <wp:posOffset>153670</wp:posOffset>
                </wp:positionV>
                <wp:extent cx="1725295" cy="255905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77.5pt;margin-top:12.1pt;width:135.84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О.А. Челнова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8686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Челнова Олеся Антоновна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218С2Е7ОЗЕ7Е88445А841АСЕ73Е4Э187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800" w:line="240" w:lineRule="auto"/>
        <w:ind w:right="0" w:firstLine="0"/>
        <w:jc w:val="left"/>
      </w:pP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10.04.2024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>04.07.2025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Исп.Челнова О.А. тел.(495)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27" w:bottom="1393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64897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2025-3899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804.5pt;width:51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2025-3899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732790</wp:posOffset>
              </wp:positionH>
              <wp:positionV relativeFrom="page">
                <wp:posOffset>9808845</wp:posOffset>
              </wp:positionV>
              <wp:extent cx="646430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2025-3899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7.700000000000003pt;margin-top:772.35000000000002pt;width:50.899999999999999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2025-3899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3930015</wp:posOffset>
              </wp:positionH>
              <wp:positionV relativeFrom="page">
                <wp:posOffset>476250</wp:posOffset>
              </wp:positionV>
              <wp:extent cx="67310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309.44999999999999pt;margin-top:37.5pt;width:5.2999999999999998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9">
    <w:name w:val="Колонтитул (2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3">
    <w:name w:val="Заголовок №1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18">
    <w:name w:val="Подпись к картинке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character" w:customStyle="1" w:styleId="CharStyle23">
    <w:name w:val="Основной текст (2)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color w:val="535353"/>
      <w:sz w:val="12"/>
      <w:szCs w:val="12"/>
      <w:u w:val="none"/>
    </w:rPr>
  </w:style>
  <w:style w:type="character" w:customStyle="1" w:styleId="CharStyle31">
    <w:name w:val="Основной текст (4)_"/>
    <w:basedOn w:val="DefaultParagraphFont"/>
    <w:link w:val="Style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26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8">
    <w:name w:val="Колонтитул (2)"/>
    <w:basedOn w:val="Normal"/>
    <w:link w:val="CharStyle9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2">
    <w:name w:val="Заголовок №1"/>
    <w:basedOn w:val="Normal"/>
    <w:link w:val="CharStyle13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7">
    <w:name w:val="Подпись к картинке"/>
    <w:basedOn w:val="Normal"/>
    <w:link w:val="CharStyle18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paragraph" w:customStyle="1" w:styleId="Style22">
    <w:name w:val="Основной текст (2)"/>
    <w:basedOn w:val="Normal"/>
    <w:link w:val="CharStyle23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535353"/>
      <w:sz w:val="12"/>
      <w:szCs w:val="12"/>
      <w:u w:val="none"/>
    </w:rPr>
  </w:style>
  <w:style w:type="paragraph" w:customStyle="1" w:styleId="Style30">
    <w:name w:val="Основной текст (4)"/>
    <w:basedOn w:val="Normal"/>
    <w:link w:val="CharStyle31"/>
    <w:pPr>
      <w:widowControl w:val="0"/>
      <w:shd w:val="clear" w:color="auto" w:fill="auto"/>
      <w:spacing w:after="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header" Target="header1.xml"/><Relationship Id="rId9" Type="http://schemas.openxmlformats.org/officeDocument/2006/relationships/footer" Target="footer2.xml"/><Relationship Id="rId10" Type="http://schemas.openxmlformats.org/officeDocument/2006/relationships/image" Target="media/image2.jpeg"/><Relationship Id="rId11" Type="http://schemas.openxmlformats.org/officeDocument/2006/relationships/image" Target="media/image2.jpeg" TargetMode="External"/><Relationship Id="rId12" Type="http://schemas.openxmlformats.org/officeDocument/2006/relationships/image" Target="media/image3.jpeg"/><Relationship Id="rId13" Type="http://schemas.openxmlformats.org/officeDocument/2006/relationships/image" Target="media/image3.jpeg" TargetMode="External"/><Relationship Id="rId14" Type="http://schemas.openxmlformats.org/officeDocument/2006/relationships/image" Target="media/image4.jpeg"/><Relationship Id="rId15" Type="http://schemas.openxmlformats.org/officeDocument/2006/relationships/image" Target="media/image4.jpeg" TargetMode="External"/></Relationships>
</file>