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3377/25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А.К. Ерамишанцева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дкЪ202020@уапдех.ги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Лебедьков М.Е.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^р1еЪе^коV@та^1.^и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60" w:bottom="621" w:left="1279" w:header="0" w:footer="3" w:gutter="0"/>
          <w:cols w:num="2" w:space="720" w:equalWidth="0">
            <w:col w:w="3826" w:space="1301"/>
            <w:col w:w="433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41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09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0" w:bottom="75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077/06/106-920/2025 о нарушении</w:t>
        <w:br/>
        <w:t>законодательства о контрактной системе</w:t>
        <w:br/>
        <w:t>29.01.2025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А.К. Ерамишанцева ДЗМ»: Л.В. Булгаковой (по доверенности от 22.08.2024 №б/н), С.А. Таровой (по доверенности от 24.01.2025 №б/н),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Лебедьков М.Е.: А.В. Кудрявцева (по доверенности от 10.01.2025 №б/н),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Лебедьков М.Е. (далее — Заявитель) на действия ГБУЗ «ГКБ им. А.К. Ерамишанцева ДЗМ» (далее — Заказчик) при проведении электронного аукциона на право заключения государственного контракта на поставку энтерального питания для нужд ГБУЗ «ГКБ им. А.К. Ерамишанцева ДЗМ» (Закупка №0373200152825000004) (далее —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9" w:val="left"/>
        </w:tabs>
        <w:bidi w:val="0"/>
        <w:spacing w:before="0" w:after="0" w:line="293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541" w:bottom="75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. В составе жалобы Заявитель указывает, что по п.1-8 «Смесь энтеральная» описания объектов закупки позиции КТРУ 10.86.10.191-00000001 установлены следующие ограничивающие требования, в том числе, например, по п.1: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2025-3863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«Возрастная категория: &gt; 1 Год» и по п.3: «Возрастная категория: &gt; 3 Год».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о неправомерности указанного требования Заявитель отмечает, что у учреждения Заказчика отсутствуют детские отделения, ввиду чего, по мнению Заявителя, Заказчику следовало отобразить оспариваемое требование следующим образом: «Возрастная категория: &gt; 18 лет».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учреждение Заказчика — это многопрофильное лечебно-профилактическое учреждение, что также отражено в учредительных документах учреждения.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вопреки доводам жалобы в публичных документах учреждения Заказчика не отображена информация об ограничении возраста (от 18 лет и старше) пациентов, принимаемых на лечение.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Аналогичным образом, по мнению представителя Заказчика, в составе жалобы отсутствует какая-либо информация, подтверждающая те обстоятельства, что лечебное учреждение Заказчика принимает пациентов с ограничением по возрасту.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Заказчика полагает, что Заказчик установил именно тот возрастной диапазон, который требуется для закупки продукции, предназначенной именно для указанной возрастной категории.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Управления, а также в материалах жалобы Заявителем не представлено документов и сведений, подтверждающих обоснованность вышеуказанного довода, в том числе, в части невозможности подготовки заявки на участие в аукционе и ограничения количества участников закупок, а также свидетельствующих о нарушении Заказчиком норм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.Наряду с этим в составе жалобы Заявитель отмечает о неправомерности следующей информации, предусмотренной разделом «Обоснование включения дополнительной информации в сведения о товаре, работе, услуге» п.1-8 «Смесь энтеральная» описания объектов закупки позиции КТРУ 10.86.10.191-00000001: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Остаточный срок годности на момент поставки: Не менее 10 мес. (в целях получения продукции, которая будет пригодна для использования по назначению в необходимый получателю период времени.)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поскольку ограничивает возможность для подачи заявки для участия в аукционе.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составе жалобы Заявитель полагает, что остаточный срок годности 10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месяцев не покрывает длительность контракта, так как согласно извещению об осуществлении закупочной процедуры поставка товара будет осуществляться по заявкам Заказчика партиями до 25.12.2025 включительно. У большинства зарегистрированных на территории Российской Федерации продукции энтерального питания общий срок годности составляет 12 месяцев.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учётом удаленности производственных площадок и логистики Заявитель предполагает, что целесообразный срок годности является не менее 6 месяцев.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указанным доводом жалобы, представитель Заказчика пояснил, что между сроком годности продукции и длительностью контракта нет никакой связи. Учитывая, что в Российской Федерации существует отечественное производство закупаемого вида товара (энтеральное питание), Заказчик не видит причин для снижения порогового значения остаточного срока годности при поставке продукции в стационар.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Комиссией Управления установлено, что Заявитель обжалует информацию указанную как обоснование включения характеристик, что не является как таковым требованием к характеристикам закупаемого товара, поскольку данный раздел служит для обоснования характеристик, а не для их установления.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Комиссия Управления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Резюмируя вышеизложенное, Комиссия Управления приходит к выводу о необоснованности данного довода жалобы.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.Согласно доводам жалобы в нарушение ст.33 Закона о контрактной системе Заказчиком указаны следующие ограничивающие требований к закупаемому товару по п.6-7 «Смесь энтеральная» описания объектов закупки позиции КТРУ 10.86.10.191-00000001 на 100 мл смеси, в частности: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Содержание белков в 100мл продукта, готового к употреблению: &gt; 5 и &lt; 6.2 Грамм; Содержание углеводов в 100 мл продукта, готового к употреблению : &gt; 8.2 и &lt; 10.5 Грамм; Содержание жиров в 100 мл продукта, готового к употреблению: &gt; 8 и &lt; 9.2 Грамм; Энергетическая ценность в 100 мл продукта, готового к употреблению: &gt; 125 и &lt; 150 Килокалория;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смеси энтеральной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: Не содержит глютен,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содержит пищевых волокон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Не содержит пробиотики, Не содержит фенилаланин, Не содержит лактозу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поскольку при таких требованиях к характеристикам закупаемых смесей возможно предложить к поставке исключительно товар единственного производителя - питательная смесь Нутриэн Пульмо производства АО «Инфаприм».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114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о неправомерном формировании описания закупаемых объектов по п.6-7 Заявитель отмечает, что установленное содержание в органических веществах не соответствует техническим стандартам по лечебному питанию при нарушении функций легких. При этом Заявитель полагает, что для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правомерного формирования описания объектов закупки Заказчику следует убрать показатель пищевые волокна, так как в нормах питания при подобной патологии нет информации о их влиянии на пациентов, следовательно, данный показатель также является ограничивающим.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составе жалобы Заявитель указывает, что совокупности установленных Заказчиком требований к закупаемому товару по п.2 «Смесь энтеральная» описания объектов закупки позиции КТРУ 10.86.10.191</w:t>
        <w:softHyphen/>
        <w:t>00000001 соответствует товар единственного производителя - питательная сметь Нутриэн Стандарт 200 мл производства АО «Инфаприм».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ограничивающими требованиями к поставке товаров иных производителей являются следующие: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белков в 100 мл продукта, готового к употреблению: &gt; 4 и &lt; 4.5 Грамм; Содержание жиров в 100 мл продукта, готового к употреблению: &gt; 3.6 и &lt; 3.8 Грамм; Содержание углеводов в 100 мл продукта, готового к употреблению: &gt; 12.9 и &lt; 13.2 Грамм; Энергетическая ценность в 100 мл продукта, готового к употреблению: &gt; 100 и &lt; 130 Килокалория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7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по п.1 «Смесь энтеральная» описания объектов закупки позиции КТРУ 10.86.10.191-00000001 соответствует товар единственного производителя - питательная сметь Нутриэн Стандарт производства АО «Инфаприм», при этом ограничивающими требованиями к поставке товаров иных производителей являются также: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Энергетическая ценность в 100 мл продукта, готового к употреблению: &gt; 100 и &lt; 130 Килокалория; Содержание белков в 100 мл продукта, готового к употреблению: &gt; 4 и &lt; 4.5 Грамм; Содержание углеводов в 100 мл продукта, готового к употреблению: &gt; 12.9 и &lt; 13.2</w:t>
        <w:tab/>
        <w:t>Грамм;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жиров в 100 мл продукта, готового к употреблению: &gt; 3.6 и &lt; 3.8 Грамм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подтвердил, что по оспариваемым позициям соответствует исключительно продукт «Нутриэн Пульмо», который удовлетворяет требованиям Приказа Минздрава России от 05.08.2003 №330 «О мерах по совершенствованию лечебного питания в лечебно</w:t>
        <w:softHyphen/>
        <w:t>профилактических учреждениях Российской Федерации» (далее — Приказ №330) и требованиям «Методические рекомендации. Энтеральное питание в лечении хирургических и терапевтических больных», утвержденных Минздравсоцразвития России 08.12.2006 № 6530-РХ.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Аналогичным образом представитель Заказчика подтвердил соответствие товара единственного производителя Нутриэн Стандарт производства АО «Инфаприм» по п.2 и п.1 описания объектов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считает, что Заказчиком не учтено, что ст.33 Закона о контрактной систем содержит в себе закрытый перечень случаев, когда Заказчик вправе закупать товары конкретного производителя за исключением случаев, отраженных в пп. «б» - «г» п.1 ч.1 ст.33 Закона о контрактной системе,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2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591" w:left="1087" w:header="0" w:footer="1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 этом обязанность по формированию описания объекта закупки в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2025-3863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из представленных документов и сведений Заказчика, из положений извещения об осуществлении закупки не представляется возможным сделать вывод о соответствии описанию объекта закупок как минимум двух товаров различных производителей. Также в рамках рассмотрения данной жалобы Заказчиком не представлено документов и сведений, подтверждающих, что в данном случае применимы условия отраженные в пп. «б» - «г» п.1 ч.1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исходит из того, что описание объектов закупки по оспариваемым позициям составлено таким образом, что предложить к поставке возможно товары исключительно производства компании АО «Инфаприм».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товарам, но таким образом, чтобы такие требования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производителей, уникальные товары единственного производителя, отсутствующие в свободном доступе, в том числе для приобретения которых необходимо заключать определенные договоры и соглашения с производителем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извещения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помимо данных оспариваемых позиций в рамках закупки также закупаются иные товары, к которым подобные требования не установлены, ввиду чего презюмируется, что по данным позициям описания объектов закупки к поставке возможны товары нескольких производителей.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нарушении Заказчиком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ч.4.1</w:t>
        <w:tab/>
        <w:t>ст.7.30 Кодекса Российской Федерации об административных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4.Заявитель обжалует неправомерность установления ограничивающих требований показателей на 100 мл. смеси по п.3-4 «Смесь энтеральная» описания объектов закупки позиции КТРУ 10.86.10.191-00000001: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жиров в 100 мл продукта, готового к употреблению: &gt; 5.9 и &lt; 6.6 Грамм; Содержание углеводов в 100 мл продукта, готового к употреблению: &gt; 17.5 и &lt; 18.6 Грамм; Содержание белков в 100 мл продукта, готового к употреблению: &gt; 6 и &lt; 6.5 Грамм; Энергетическая ценность в 100 мл продукта, готового к употреблению: &gt; 150 и &lt; 160 Килокалория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отмечает, что в нормах Приказа №330 указаны интервалы белков, жиров, углеводов и энергетической ценности для пациентов с высокими потребностями, под которые подходят как минимум 5 питательных смесей, представленных на российском рынке.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Пациентам в критических состояниях необходимы высокие количества белка, тогда как, по мнению подателя жалобы, Заказчик ограничивает смеси по содержанию белка цифрой 6,5 гр., когда на рынке есть смеси с содержанием белка и 7,5 и 9, и 10 гр. Смесь с показателем энергетической ценности 170-200 ккал тоже является гиперкалорической.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Заявитель полагает, что такие смеси с более высоким содержанием белка и энергетической ценностью закрывают суточную потребность пациента в КБЖУ меньшим объёмом, что в свою очередь приводит к экономии бюджета. При таких обстоятельствах Заявитель отмечает, что Заказчику целесообразно внести изменения в извещение.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Аналогичным образом Заявитель также обжалует неправомерность установления ограничивающих требований показателей на 100 мл. смеси по п.5 и 8 «Смесь энтеральная» описания объектов закупки позиции КТРУ 10.86.10.191</w:t>
        <w:softHyphen/>
        <w:t>00000001: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Энергетическая ценность в 100 мл продукта, готового к употреблению: &gt; 100 и &lt; 130 Килокалория; Содержание пищевых волокон в 100 мл продукта, готового к употреблению: &gt; 1 и &lt; 1.5 Грамм; Содержание жиров в 100 мл продукта, готового к употреблению: &gt; 3.9 и &lt; 4.4 Грамм; Содержание белков в 100 мл продукта, готового к употреблению: &gt; 4 и &lt; 4.3 Грамм; Содержание углеводов в 100 мл продукта, готового к употреблению: &gt; 10 и &lt; 13 Грамм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о неправомерности указанных требований Заявитель отмечает, что в Приказе №330 указано, что больным сахарным диабетом I и II типа назначаются питательные смеси с пониженным содержанием жиров и углеводов, содержащие пищевые волокна.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114" w:left="109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на рынке Российской Федерации представлены питательные смеси с более низким содержанием жиров и углеводов, таким образом характеристики, указанные в описании объектов закупки по п.5 и 8, нарушают требования Приказа №330, являются необоснованными и влекут за собой ограничение конкуренции.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отметил, что описание объектов закупки составлено в соответствии со ст.33 Закона о контрактной системе и соответствует потребности учреждения Заказчика для удовлетворения клинических целей.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полагает, что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 Согласно доводам жалобы Заявитель указывает на неправомерно установленные требования по п.1- описания объектов закупки показателей осмолярности и осмоляльности на 100 мл смеси, которые не соответствуют ни одним нормативным документам, регламентирующих лечебное питание, ввиду чего Заявитель приходит к выводу о неправомерности требовать от участников аукциона предоставления данных показателей.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определены следующие требования к осмолярности и осмоляльности, например: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п.1: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«Осмолярность, мОсм/л: &gt; 300 и &lt; 320»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п.2: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«Осмоляльность, мОсм/кг: &gt; 300 и &lt; 320»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из положений ГОСТ 35004-2023 «Продукция пищевая специализированная. Продукты пищевые энтерального питания базовые. Общие технические условия» от 01.09.2024 (далее - ГОСТ 35004-2023) следует, что показатели «осмолярность» и «оосмоляльность» являются неотъемлемой частью описания состава продукции, например п.5.2.3 ГОСТ 35004-2023 предусмотрено следующее: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Осмолярность продуктов зондового питания, а также продуктов, которые могут быть использованы для питания детей от одного года и до трех лет, должна быть не более 400 мОсм/дм3 восстановленного до готового к употреблению продукта или жидкого продукта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уточнил, что у питания может быть разная осмолярность и осмоляльность в зависимости от того, сколько весит один литр смеси.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 представитель Заказчика приходит к выводу, что в описании объектов закупки все диапазоны осмолярности (осмоляльности) указаны обоснованно, не являются излишними, а являются частью описания объектов закупки, так как обоснованы ГОСТ 35004-2023.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Иного на заседании Комиссии Управления представителем Заявителя доказано не было.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 Комиссия Управления приходит к необоснованности данного довода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6.Также в составе жалобы Заявитель отмечает о неправомерности следующих требований по п.1-4 «Смесь энтеральная» описания объектов закупки позиции КТРУ 10.86.10.191-00000001: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цельного белка в основе смеси энтеральной: Казеин; Сывороточный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00"/>
        <w:jc w:val="both"/>
        <w:rPr>
          <w:sz w:val="22"/>
          <w:szCs w:val="22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56" w:bottom="591" w:left="1097" w:header="0" w:footer="1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мнению Заявителя, выраженного в составе жалобы, подобное требование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2025-3863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излишне, поскольку достаточно указания на вид белка «цельный», что подтверждается положениями Приказа №330, в котором белки не разделяются по их происхождению.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Вопреки доводам жалобы представитель Заказчика пояснил, что комплекс белков (казеин, сывороточный белок) полностью соответствует действующим международным рекомендациям по питанию в критических состояниях, содержанию аминокислот, качеству белка и имеет преимущества по питательной ценности, так как в большей мере соответствует природному содержанию белка в обычной пище, получаемой людьми в традиционном рационе. Следовательно, при кормлении пациента через зонд или гастростому закупаемым продуктом обеспечивается полноценное питание всеми необходимыми нутриентами, в отличие от составов других продуктов. Сочетание различных белков помогает улучшить качество белка в поступающей пище и обладает хорошей усвояемостью, что позволяет снизить потери белка организмом в тяжёлом состоянии заболевания.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как отметил представитель Заказчика, требование Заказчика по пищевой ценности и виду белка продиктовано объективной потребностью и показаниями.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представитель Заказчика уточнил, что дифференциация белков по их происхождению также предусмотрена положениями ГОСТ 35004-2023, например п.5.3.2 ГОСТ 35004-2023 для производства продуктов применяют следующие виды сырья, в частности, казеинаты пищевые (казеинат кальция) — по ГОСТ 33920 и казеинаты пищевые (казеинат натрия или казеинат калия) — по нормативным документам, действующим на территории государства, принявшего стандарт.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Заказчика приходит к выводу о правомерном описании объектов закупки в соответствии с Законом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Иного на заседании Комиссии Управления представителем Заявителя доказано не было.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 Комиссия Управления приходит к необоснованности данного довода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жалобы Заявитель также указывает на то, что Заказчиком нарушаются положения Федерального закона от 26.07.2006 № 135-ФЗ «О защите конкуренции» (далее — Закон о защите конкуренции). При этом жалоба Заявителя на действия Заказчика, исходя из совокупного содержания, подана в Московское УФАС России в порядке главы 6 Закона о контрактной системе и рассмотрена Комиссией Управления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законодательства, утвержденным приказом ФАС России от 25.05.2012 № 339.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Учитывая,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порядке, предусмотренном Законом о защите конкуренции, рассмотрение доводов жалобы в отношении нарушении Закона о защите конкуренции не может быть осуществлено.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Лебедьков М.Е. на действия ГБУЗ «ГКБ им. А.К. Ерамишанцева ДЗМ» обоснованной в части неправомерного описания объекта закупки соответствующего товарам единственного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п.1 ч.1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7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700000000000003pt;margin-top:10.pt;width:145.70000000000002pt;height:19.699999999999999pt;z-index:-125829375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0" behindDoc="0" locked="0" layoutInCell="1" allowOverlap="1">
            <wp:simplePos x="0" y="0"/>
            <wp:positionH relativeFrom="page">
              <wp:posOffset>3061335</wp:posOffset>
            </wp:positionH>
            <wp:positionV relativeFrom="paragraph">
              <wp:posOffset>191135</wp:posOffset>
            </wp:positionV>
            <wp:extent cx="365760" cy="40830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4.90000000000003pt;margin-top:22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6182360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6.80000000000001pt;margin-top:10.pt;width:81.100000000000009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5353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53535"/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000590946031СЕ073ВЕ5С5О6ЕЕ7501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5353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по 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2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3040380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8.30000000000001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4.90000000000003pt;margin-top:11.8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00803Е817690Е8688001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Е612СЗС6В74577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02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3040380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8.30000000000001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4.90000000000003pt;margin-top:11.8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00ЕЗВ71218Е970424В4С41С7997434Е304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0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94.70000000000005pt;width:50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94.70000000000005pt;width:50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pt;margin-top:794.70000000000005pt;width:50.899999999999999pt;height:7.90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416560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2.79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7.05000000000001pt;margin-top:37.5pt;width:10.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416560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2.799999999999997pt;width:5.29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7.05000000000001pt;margin-top:37.5pt;width:10.1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416560</wp:posOffset>
              </wp:positionV>
              <wp:extent cx="6731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2.799999999999997pt;width:5.2999999999999998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7.05000000000001pt;margin-top:37.5pt;width:10.1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0"/>
      <w:szCs w:val="10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0"/>
      <w:szCs w:val="10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8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Relationship Id="rId27" Type="http://schemas.openxmlformats.org/officeDocument/2006/relationships/image" Target="media/image5.jpeg"/><Relationship Id="rId28" Type="http://schemas.openxmlformats.org/officeDocument/2006/relationships/image" Target="media/image5.jpeg" TargetMode="External"/></Relationships>
</file>