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86485" distR="1059815" simplePos="0" relativeHeight="125829378" behindDoc="0" locked="0" layoutInCell="1" allowOverlap="1">
            <wp:simplePos x="0" y="0"/>
            <wp:positionH relativeFrom="page">
              <wp:posOffset>1778635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622300</wp:posOffset>
                </wp:positionV>
                <wp:extent cx="24295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95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30.01.2025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3552/25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5pt;margin-top:49.pt;width:191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30.01.2025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3552/25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50800" distB="0" distL="114300" distR="114300" simplePos="0" relativeHeight="125829381" behindDoc="0" locked="0" layoutInCell="1" allowOverlap="1">
            <wp:simplePos x="0" y="0"/>
            <wp:positionH relativeFrom="page">
              <wp:posOffset>711835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 Б.В. Петровского»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допас11е\\\у@1пес1.П1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«Русстрой»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20" w:line="211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ооо.ги§81гоу18@тай.ги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077/06/106-1136/2025 о нарушении</w:t>
        <w:br/>
        <w:t>законодательства о контрактной системе</w:t>
      </w:r>
    </w:p>
    <w:p>
      <w:pPr>
        <w:pStyle w:val="Style14"/>
        <w:keepNext/>
        <w:keepLines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30.01.2025</w:t>
        <w:tab/>
        <w:t>г. Москва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ФГБНУ «РНЦХ им. акад. Б.В. Петровского»: Горячева В.Е. (по доверенности № б/н, выданной по 30.12.2025);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«Русстрой», о времени и порядке заседания Комиссии Управления уведомлены надлежащим образом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2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ООО «Русстрой» (далее — Заявитель) на действия ФГБНУ «РНЦХ им. акад. Б.В. Петровского» (далее — Заказчик) при проведении открытого конкурса в электронной форме на право заключения контракта на оказание услуг по осуществлению функций технического заказчика в отношении Объекта: «Строительство центра медицинских инноваций и биоинжиниринга» (Закупка №0373100072124001899) (далее — конкурс), в соответствии с Федеральным законом от 05.04.2013 № 44-ФЗ «О контрактной системе в сфере закупок товаров, работ, услуг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обеспечения государственных и муниципальных нужд» (далее —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открытого конкурса в электронной форме.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A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нарушение конкурсной комиссией Заказчика установленного порядка оценки при рассмотрении и оценке заявки ООО «Русстрой».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указывает, что им в подтверждение опыта представлено несколько договоров, в то время как в протоколе подведения итогов определения поставщика (подрядчика, исполнителя) от 23.01.2025 №ИЭОК1 указано, что заявке Заявителя (Идентификационный номер заявки 1475617) присвоено 0 баллов, что, по мнению Заявителя, является неправомерным.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ч.6 ст.106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п.3 и п.4 ч.1 ст.32 Закона о контрактной системе критериями оценки этих заявок, окончательных предложений.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предмет жалобы о присвоении результатов оценки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не относится к компетенции Комиссии Управления, и обжаловать такие результаты оценки заявок возможно исключительно в судебном порядке.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Управления проводится проверка действий комиссии по осуществлению закупок Заказчика в части применения установленного в извещении порядка оценки заявок на участие в конкурсе.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ст.48 Закона о контрактной системе заявка на участие в закупке состоит из трех частей, при этом вторая часть должна содержать информацию и документы, предусмотренные пп.«м» - «р» п.1, пп «в» п.2, п.5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пп.«р» п.1 ч.1 ст.43 Закона о контрактной системе заявка на участие в закупке может содержать документы, подтверждающие квалификацию участника закупки. Отсутствие таких документов не является основанием для признания заявки не соответствующей требованиям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П.4 ч.2 ст.42 Закона о контрактной системе установлено, что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контракта, сумма цен единиц товара, работы, услуги;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 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2 ч.1 ст.32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информационной картой открытого конкурса оценка заявок производится в соответствии с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2025-4218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согласно извещению о проведении закупочной процедуры Заказчиком установлен, в том числе, следующий порядок оценки заявок по критерию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квалификации», по детализирующему показателю оценки «признак К 1 (общая цена исполненных участником закупки договоров)»: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Оценка заявок осуществляется в порядке, определенном подпунктом «б» пункта 20 Положения где: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Хтах - максимальное значение общей цены исполненных участником закупки договоров, содержащееся в заявках (частях заявок), подлежащих в соответствии с Федеральным законом оценке по критерию оценки " значение общей цены исполненных участником закупки договоров ";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Х1 - значение общей цены исполненных участником закупки договоров, содержащееся в предложении участника закупки, заявка (часть заявки) которого подлежит в соответствии с Федеральным законом оценке по критерию оценки " значение общей цены исполненных участником закупки договоров ";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962" w:right="536" w:bottom="896" w:left="1088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Хтт - минимальное значение общей цены исполненных участником закупки договоров, содержащееся в заявках (частях заявок), подлежащих в соответствии 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Федеральным законом оценке по критерию оценки.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Оценивается предложение участника об общей цене исполненных участником закупки контрактов (договоров) (оценивается суммарный объем выполненных работ (оказанных услуг) по исполненным участником закупки контрактам (договорам), исчисляемый в рублях, связанных с предметом контракта, заключаемого по результатам проведения закупки).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работами (услугами), связанными с предметом контракта, заключаемого по результатам проведения закупки, понимаются оказание услуг технического заказчика (выполнение функций заказчика-застройщика) за работами по строительству, реконструкции, капитальному ремонту, сносу объектов капитального строительства (за исключением линейного объекта).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от 05.04.2013 № 44-ФЗ.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к оценке принимаютсяакт (акты) приемки оказанных услуг, составленные при исполнении такого договора (договоров).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последний акт, составленный при исполнении договора (-ов), должен быть подписан не ранее чем за 5 лет до даты окончания срока подачи заявок на участие в настоящей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представленные документы должны быть в виде неповторяющихся, полно читаемых копий, на которых видны необходимые сведения, подписи и печати.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сакирк1.дое.ги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информации из рекомендуемой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к настоящим критериям оценки заявок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Непредоставление в составе второй части заявки на участие в конкурсе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таких документов не является основанием для отказа в допуске к участию в открытом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второй части заявки на участие в конкурсе либо информацией, размещенной на сайте Единой информационной системы в сфере закупок 2С1кирк1.д()\'.г11.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общая цена исполненных участником закупки контрактов (договоров), представленных Заявителем в качестве подтверждения опыта работы, связанного с предметом контракта составляет 77 900 000,00 руб., при этом общая цена исполненных участником закупки контрактов (договоров) победителя закупки с идентификационным номером заявки 1474760 превышает общую цену договоров, представленных Заявителем.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представитель Заказчика пояснил, что Заявителем по показателю «Общая цена исполненных участником закупки договоров» представлено наихудшее значение из двух заявок участников, соответственно такому показателю комиссия заказчика присвоила 0 (ноль) баллов, что соответствует порядку оценки.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п.7.4 информационного письма Минфина России от 14.02.2022 № 24-01-09/10138 «О направлении информации о применении Федерального закона от 5 апреля 2013 г. № 44-ФЗ в редакции Федерального закона от 2 июля 2021 г. № 360-ФЗ» формулы, при которых заказчик не устанавливает предельное (предельные) значение (значения) (подпункты «а» и «б» пункта 20 Положения), предусматривают присвоение баллов, исходя из ниже следующего: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заявке, содержащей наилучшее значение, присваивается 100 баллов;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заявке, содержащей наихудшее значение, присваивается 0 баллов.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Подход, при котором оценка заявок осуществляется от 0 до 100 баллов между наихудшим и наилучшим значениями из представленных в таких заявках, обусловлен тем, что заранее не известны и не ограничиваются значения, которые могут быть предложены разными участниками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Управления установлено, что конкурсной комиссией Заказчика надлежащим образом применен порядок оценки по показателю «Общая цена исполненных участником закупки договоров» в части присвоения 0 баллов Заявителю, исходя из установленной формулы, предусмотренной п.20 Положения.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выводу, что довод жалобы Заявителя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в составе жалобы Заявитель указывает, что в единой информационной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 Заказчиком размещен проект контракта, предмет и содержание которого не соответствуют предмету закупки, а также, что в извещении установлено требование о наличии членства в саморегулируемой организации в области строительства, реконструкции, капитального ремонта, объектов капитального строительства, однако в извещении нет указания на необходимый уровень ответственности, а также на стоимость строительства объекта.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указанный довод не может быть рассмотрен Комиссией Управления при рассмотрении жалобы на действия комиссии Заказчика, так как обжалование положений извещения возможно согласно ч.2 ст.105 Закона о контрактной системе до окончания срока подачи заявок на участие в электронном аукционе.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установленные сроки Заявитель не воспользовался своим правом и не обжаловал положения извещения, что указывает на то, что, подавая заявку Заявитель выразил свое согласие на оказание услуг на условиях, установленных извещением и при подаче заявки на участие в электронном аукционе, Заявитель был согласен со всеми установленными Заказчиком требованиями.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 Комиссия Управления отмечает, что вышеуказанные оспариваемые Заявителем доводы жалобы о неправомерных положениях извещения рассмотрены Комиссией Управления 27.01.2025 в рамках жалобы ООО «ПРОГРЕСС СТРОЙ» (реестровый номер 202500100161003619).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указанной жалобы Комиссией Управления принято решение о признании вышеуказанных доводов жалобы обоснованными, а также Заказчику выдано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62" w:right="536" w:bottom="896" w:left="108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«Русстрой» на действия комиссии ФГБНУ «РНЦХ им. акад. Б.В. Петровского»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Жалобу ООО «Русстрой» в части обжалования положений извещения об осуществлении закупки оставить без рассмотрения в соответствии ч.2 ст.105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7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229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203835" distL="0" distR="0" simplePos="0" relativeHeight="125829382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950000000000003pt;margin-top:42.pt;width:145.70000000000002pt;height:19.699999999999999pt;z-index:-125829371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24840" distB="0" distL="0" distR="1804670" simplePos="0" relativeHeight="125829384" behindDoc="0" locked="0" layoutInCell="1" allowOverlap="1">
            <wp:simplePos x="0" y="0"/>
            <wp:positionH relativeFrom="page">
              <wp:posOffset>3058795</wp:posOffset>
            </wp:positionH>
            <wp:positionV relativeFrom="paragraph">
              <wp:posOffset>624840</wp:posOffset>
            </wp:positionV>
            <wp:extent cx="311150" cy="36576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694690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1.80000000000001pt;margin-top:54.700000000000003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03835" distL="0" distR="0" simplePos="0" relativeHeight="125829385" behindDoc="0" locked="0" layoutInCell="1" allowOverlap="1">
                <wp:simplePos x="0" y="0"/>
                <wp:positionH relativeFrom="page">
                  <wp:posOffset>6173470</wp:posOffset>
                </wp:positionH>
                <wp:positionV relativeFrom="paragraph">
                  <wp:posOffset>533400</wp:posOffset>
                </wp:positionV>
                <wp:extent cx="1017905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79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6.10000000000002pt;margin-top:42.pt;width:80.150000000000006pt;height:19.699999999999999pt;z-index:-125829368;mso-wrap-distance-left:0;mso-wrap-distance-top:42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22222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00Э590946С31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СЕ073ВЕ5С5О6РЕ7501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58" w:right="527" w:bottom="229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216535" distL="0" distR="0" simplePos="0" relativeHeight="125829387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57.950000000000003pt;margin-top:9.pt;width:105.60000000000001pt;height:19.900000000000002pt;z-index:-125829366;mso-wrap-distance-left:0;mso-wrap-distance-top:9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7325" distB="0" distL="0" distR="1786255" simplePos="0" relativeHeight="125829389" behindDoc="0" locked="0" layoutInCell="1" allowOverlap="1">
            <wp:simplePos x="0" y="0"/>
            <wp:positionH relativeFrom="page">
              <wp:posOffset>3040380</wp:posOffset>
            </wp:positionH>
            <wp:positionV relativeFrom="paragraph">
              <wp:posOffset>187325</wp:posOffset>
            </wp:positionV>
            <wp:extent cx="347345" cy="396240"/>
            <wp:wrapTopAndBottom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4734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278765</wp:posOffset>
                </wp:positionV>
                <wp:extent cx="1722120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1.80000000000001pt;margin-top:21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216535" distL="0" distR="0" simplePos="0" relativeHeight="125829390" behindDoc="0" locked="0" layoutInCell="1" allowOverlap="1">
                <wp:simplePos x="0" y="0"/>
                <wp:positionH relativeFrom="page">
                  <wp:posOffset>5859780</wp:posOffset>
                </wp:positionH>
                <wp:positionV relativeFrom="paragraph">
                  <wp:posOffset>114300</wp:posOffset>
                </wp:positionV>
                <wp:extent cx="1341120" cy="2527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Матюшенко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61.40000000000003pt;margin-top:9.pt;width:105.60000000000001pt;height:19.900000000000002pt;z-index:-125829363;mso-wrap-distance-left:0;mso-wrap-distance-top:9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Матюшенко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0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Матюшенко Александр Александрович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2Е366ЕСЗОЕЕ902О8968ЕА4В2С7Э60465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3037205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3494405</wp:posOffset>
                </wp:positionH>
                <wp:positionV relativeFrom="paragraph">
                  <wp:posOffset>462915</wp:posOffset>
                </wp:positionV>
                <wp:extent cx="1283335" cy="1035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75.15000000000003pt;margin-top:36.45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1.80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00803Е81769ОЕ8688ВВ1Е612СЗС6В74577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620" w:line="240" w:lineRule="auto"/>
        <w:ind w:right="0" w:firstLine="0"/>
        <w:jc w:val="left"/>
      </w:pP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20.05.2024 </w:t>
      </w:r>
      <w:r>
        <w:rPr>
          <w:color w:val="84848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5E5E5E"/>
          <w:spacing w:val="0"/>
          <w:w w:val="100"/>
          <w:position w:val="0"/>
          <w:shd w:val="clear" w:color="auto" w:fill="auto"/>
          <w:lang w:val="ru-RU" w:eastAsia="ru-RU" w:bidi="ru-RU"/>
        </w:rPr>
        <w:t>13.08.2025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10123805</wp:posOffset>
              </wp:positionV>
              <wp:extent cx="6464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2025-4218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7.14999999999998pt;width:50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2025-4218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10187305</wp:posOffset>
              </wp:positionV>
              <wp:extent cx="64643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2025-4218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550000000000004pt;margin-top:802.14999999999998pt;width:50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2025-4218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10123805</wp:posOffset>
              </wp:positionV>
              <wp:extent cx="64643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2025-4218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200000000000003pt;margin-top:797.14999999999998pt;width:50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2025-4218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10123805</wp:posOffset>
              </wp:positionV>
              <wp:extent cx="64643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2025-4218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97.14999999999998pt;width:50.899999999999999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2025-4218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349250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90000000000003pt;margin-top:2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44999999999999pt;margin-top:37.5pt;width:4.5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9.44999999999999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9.44999999999999pt;margin-top:37.5pt;width:4.5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character" w:customStyle="1" w:styleId="CharStyle25">
    <w:name w:val="Основной текст (4)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22222"/>
      <w:sz w:val="11"/>
      <w:szCs w:val="11"/>
      <w:u w:val="none"/>
    </w:rPr>
  </w:style>
  <w:style w:type="paragraph" w:customStyle="1" w:styleId="Style24">
    <w:name w:val="Основной текст (4)"/>
    <w:basedOn w:val="Normal"/>
    <w:link w:val="CharStyle25"/>
    <w:pPr>
      <w:widowControl w:val="0"/>
      <w:shd w:val="clear" w:color="auto" w:fill="auto"/>
      <w:spacing w:after="100"/>
      <w:ind w:left="22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7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54545"/>
      <w:sz w:val="12"/>
      <w:szCs w:val="12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2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Relationship Id="rId23" Type="http://schemas.openxmlformats.org/officeDocument/2006/relationships/image" Target="media/image5.jpeg"/><Relationship Id="rId24" Type="http://schemas.openxmlformats.org/officeDocument/2006/relationships/image" Target="media/image5.jpeg" TargetMode="External"/></Relationships>
</file>