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39" w:line="1" w:lineRule="exact"/>
      </w:pPr>
    </w:p>
    <w:p>
      <w:pPr>
        <w:pStyle w:val="Style5"/>
        <w:keepNext w:val="0"/>
        <w:keepLines w:val="0"/>
        <w:widowControl w:val="0"/>
        <w:shd w:val="clear" w:color="auto" w:fill="auto"/>
        <w:bidi w:val="0"/>
        <w:spacing w:before="0" w:after="14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Красноярскому краю</w:t>
      </w:r>
    </w:p>
    <w:p>
      <w:pPr>
        <w:pStyle w:val="Style5"/>
        <w:keepNext w:val="0"/>
        <w:keepLines w:val="0"/>
        <w:widowControl w:val="0"/>
        <w:shd w:val="clear" w:color="auto" w:fill="auto"/>
        <w:bidi w:val="0"/>
        <w:spacing w:before="0" w:line="276" w:lineRule="auto"/>
        <w:ind w:left="0" w:right="0" w:firstLine="0"/>
        <w:jc w:val="center"/>
      </w:pPr>
      <w:r>
        <w:rPr>
          <w:spacing w:val="0"/>
          <w:w w:val="100"/>
          <w:position w:val="0"/>
          <w:shd w:val="clear" w:color="auto" w:fill="auto"/>
          <w:lang w:val="ru-RU" w:eastAsia="ru-RU" w:bidi="ru-RU"/>
        </w:rPr>
        <w:t>пр. Мира, 81 д, г. Красноярск, 660017</w:t>
        <w:br/>
        <w:t>тел. (391) 211-00-00, факс (391) 211-01-14</w:t>
        <w:br/>
        <w:t>е-таП: 1о24й;Гаа.ао\'.ги</w:t>
      </w:r>
    </w:p>
    <w:p>
      <w:pPr>
        <w:pStyle w:val="Style8"/>
        <w:keepNext w:val="0"/>
        <w:keepLines w:val="0"/>
        <w:widowControl w:val="0"/>
        <w:shd w:val="clear" w:color="auto" w:fill="auto"/>
        <w:tabs>
          <w:tab w:leader="underscore" w:pos="1762" w:val="left"/>
          <w:tab w:leader="underscore" w:pos="3926" w:val="left"/>
        </w:tabs>
        <w:bidi w:val="0"/>
        <w:spacing w:before="0" w:after="240" w:line="264" w:lineRule="auto"/>
        <w:ind w:left="0" w:right="0" w:firstLine="0"/>
        <w:jc w:val="both"/>
        <w:rPr>
          <w:sz w:val="18"/>
          <w:szCs w:val="18"/>
        </w:rPr>
      </w:pPr>
      <w:r>
        <w:rPr>
          <w:b w:val="0"/>
          <w:bCs w:val="0"/>
          <w:spacing w:val="0"/>
          <w:w w:val="100"/>
          <w:position w:val="0"/>
          <w:sz w:val="18"/>
          <w:szCs w:val="18"/>
          <w:shd w:val="clear" w:color="auto" w:fill="auto"/>
          <w:lang w:val="ru-RU" w:eastAsia="ru-RU" w:bidi="ru-RU"/>
        </w:rPr>
        <w:tab/>
        <w:t xml:space="preserve"> №</w:t>
        <w:tab/>
      </w:r>
    </w:p>
    <w:p>
      <w:pPr>
        <w:pStyle w:val="Style11"/>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На №  от</w:t>
      </w:r>
    </w:p>
    <w:p>
      <w:pPr>
        <w:widowControl w:val="0"/>
        <w:jc w:val="center"/>
        <w:rPr>
          <w:sz w:val="2"/>
          <w:szCs w:val="2"/>
        </w:rPr>
      </w:pPr>
      <w:r>
        <w:drawing>
          <wp:inline>
            <wp:extent cx="2597150" cy="182880"/>
            <wp:docPr id="2" name="Picutre 2"/>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stretch/>
                  </pic:blipFill>
                  <pic:spPr>
                    <a:xfrm>
                      <a:ext cx="2597150" cy="182880"/>
                    </a:xfrm>
                    <a:prstGeom prst="rect"/>
                  </pic:spPr>
                </pic:pic>
              </a:graphicData>
            </a:graphic>
          </wp:inline>
        </w:drawing>
      </w:r>
    </w:p>
    <w:p>
      <w:pPr>
        <w:pStyle w:val="Style13"/>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ООО «Русьмедснаб» 656049 Алтайский край, г. Барнаул, пер. Прудской 69 офис 21 ги8те4§паЪ2021@дтаП.сот</w:t>
      </w:r>
    </w:p>
    <w:p>
      <w:pPr>
        <w:pStyle w:val="Style13"/>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КГБУЗ "КМКБСМП им. Н.С. Карповича" ул. Курчатова, д. 17, г. Красноярск, 660062 Ъ8тр@кга§Ъ8тр.ги</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Агентство государственного заказа Красноярского края пр-т Мира 10, оф. 53, г. Красноярск, 660049 ад2_рпет@таП.ги;</w:t>
      </w:r>
    </w:p>
    <w:p>
      <w:pPr>
        <w:pStyle w:val="Style13"/>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адx_Vоу1:8екоV^ск@та^1.^и</w:t>
      </w:r>
    </w:p>
    <w:p>
      <w:pPr>
        <w:pStyle w:val="Style13"/>
        <w:keepNext w:val="0"/>
        <w:keepLines w:val="0"/>
        <w:widowControl w:val="0"/>
        <w:shd w:val="clear" w:color="auto" w:fill="auto"/>
        <w:bidi w:val="0"/>
        <w:spacing w:before="0" w:after="0" w:line="240" w:lineRule="auto"/>
        <w:ind w:left="0" w:right="0" w:firstLine="0"/>
        <w:jc w:val="left"/>
        <w:sectPr>
          <w:footerReference w:type="default" r:id="rId9"/>
          <w:footerReference w:type="first" r:id="rId10"/>
          <w:footnotePr>
            <w:pos w:val="pageBottom"/>
            <w:numFmt w:val="decimal"/>
            <w:numRestart w:val="continuous"/>
          </w:footnotePr>
          <w:pgSz w:w="11900" w:h="16840"/>
          <w:pgMar w:top="284" w:right="834" w:bottom="1217" w:left="1140" w:header="0" w:footer="3" w:gutter="0"/>
          <w:pgNumType w:start="1"/>
          <w:cols w:num="2" w:space="720" w:equalWidth="0">
            <w:col w:w="4090" w:space="1171"/>
            <w:col w:w="4666"/>
          </w:cols>
          <w:noEndnote/>
          <w:titlePg/>
          <w:rtlGutter w:val="0"/>
          <w:docGrid w:linePitch="360"/>
        </w:sectPr>
      </w:pPr>
      <w:r>
        <w:rPr>
          <w:color w:val="000000"/>
          <w:spacing w:val="0"/>
          <w:w w:val="100"/>
          <w:position w:val="0"/>
          <w:shd w:val="clear" w:color="auto" w:fill="auto"/>
          <w:lang w:val="ru-RU" w:eastAsia="ru-RU" w:bidi="ru-RU"/>
        </w:rPr>
        <w:t>АО «ЭТП Газпромбанк» т!о@е1рдрЪ.ги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8" w:after="8" w:line="240" w:lineRule="exact"/>
        <w:rPr>
          <w:sz w:val="19"/>
          <w:szCs w:val="19"/>
        </w:rPr>
      </w:pPr>
    </w:p>
    <w:p>
      <w:pPr>
        <w:widowControl w:val="0"/>
        <w:spacing w:line="1" w:lineRule="exact"/>
        <w:sectPr>
          <w:footnotePr>
            <w:pos w:val="pageBottom"/>
            <w:numFmt w:val="decimal"/>
            <w:numRestart w:val="continuous"/>
          </w:footnotePr>
          <w:type w:val="continuous"/>
          <w:pgSz w:w="11900" w:h="16840"/>
          <w:pgMar w:top="324" w:right="0" w:bottom="1176" w:left="0" w:header="0" w:footer="3" w:gutter="0"/>
          <w:cols w:space="720"/>
          <w:noEndnote/>
          <w:rtlGutter w:val="0"/>
          <w:docGrid w:linePitch="360"/>
        </w:sectPr>
      </w:pPr>
    </w:p>
    <w:p>
      <w:pPr>
        <w:pStyle w:val="Style13"/>
        <w:keepNext w:val="0"/>
        <w:keepLines w:val="0"/>
        <w:widowControl w:val="0"/>
        <w:shd w:val="clear" w:color="auto" w:fill="auto"/>
        <w:bidi w:val="0"/>
        <w:spacing w:before="0" w:after="0" w:line="240" w:lineRule="auto"/>
        <w:ind w:left="0" w:right="0" w:firstLine="0"/>
        <w:jc w:val="center"/>
      </w:pPr>
      <w:r>
        <mc:AlternateContent>
          <mc:Choice Requires="wps">
            <w:drawing>
              <wp:anchor distT="0" distB="0" distL="114300" distR="114300" simplePos="0" relativeHeight="125829378" behindDoc="0" locked="0" layoutInCell="1" allowOverlap="1">
                <wp:simplePos x="0" y="0"/>
                <wp:positionH relativeFrom="page">
                  <wp:posOffset>6234430</wp:posOffset>
                </wp:positionH>
                <wp:positionV relativeFrom="paragraph">
                  <wp:posOffset>190500</wp:posOffset>
                </wp:positionV>
                <wp:extent cx="984250" cy="228600"/>
                <wp:wrapSquare wrapText="bothSides"/>
                <wp:docPr id="7" name="Shape 7"/>
                <a:graphic xmlns:a="http://schemas.openxmlformats.org/drawingml/2006/main">
                  <a:graphicData uri="http://schemas.microsoft.com/office/word/2010/wordprocessingShape">
                    <wps:wsp>
                      <wps:cNvSpPr txBox="1"/>
                      <wps:spPr>
                        <a:xfrm>
                          <a:ext cx="984250" cy="22860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Красноярск</w:t>
                            </w:r>
                          </w:p>
                        </w:txbxContent>
                      </wps:txbx>
                      <wps:bodyPr wrap="none" lIns="0" tIns="0" rIns="0" bIns="0">
                        <a:noAutoFit/>
                      </wps:bodyPr>
                    </wps:wsp>
                  </a:graphicData>
                </a:graphic>
              </wp:anchor>
            </w:drawing>
          </mc:Choice>
          <mc:Fallback>
            <w:pict>
              <v:shape id="_x0000_s1033" type="#_x0000_t202" style="position:absolute;margin-left:490.90000000000003pt;margin-top:15.pt;width:77.5pt;height:18.pt;z-index:-125829375;mso-wrap-distance-left:9.pt;mso-wrap-distance-right:9.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Красноярск</w:t>
                      </w:r>
                    </w:p>
                  </w:txbxContent>
                </v:textbox>
                <w10:wrap type="square" anchorx="page"/>
              </v:shape>
            </w:pict>
          </mc:Fallback>
        </mc:AlternateContent>
      </w:r>
      <w:r>
        <w:rPr>
          <w:color w:val="000000"/>
          <w:spacing w:val="0"/>
          <w:w w:val="100"/>
          <w:position w:val="0"/>
          <w:shd w:val="clear" w:color="auto" w:fill="auto"/>
          <w:lang w:val="ru-RU" w:eastAsia="ru-RU" w:bidi="ru-RU"/>
        </w:rPr>
        <w:t>Решение № 024/06/106-3095/2024</w:t>
      </w:r>
    </w:p>
    <w:p>
      <w:pPr>
        <w:pStyle w:val="Style13"/>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7 октября 2024 года</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Комиссия Красноярского УФАС России по контролю в сфере закупок в составе: Председатель Комиссии - заместитель руководителя М.А. Дударева, члены Комиссии: начальник отдела М.А. Грицай, ведущий специалист-эксперт Грузиненко А.А. (далее - Комиссия), рассмотрев жалобу ООО «Русьмедснаб» (далее - податель жалобы) на действия заказчика - краевого государственного бюджетного учреждения здравоохранения «Красноярская межрайонная клиническая больница скорой медицинской помощи имени Н.С. Карповича» (далее — заказчик), уполномоченного органа - Агентства государственного заказа Красноярского края (далее - уполномоченный орган) при проведении аукциона в электронной форме ЭА-№-15778/24 «Поставка с доставкой расходного материала для анализатора Сисмекс С8 20001 на 2024 год для КДЛ КГБУЗ «КМКБСМП им. Н.С. Карповича»» (далее - аукцион), извещение №0119200000124015784, на электронной торговой площадке ЭТП «Газпромбанк» (далее - оператор электронной площадки), установила следующее.</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В адрес Красноярского УФАС России поступила жалоба ООО «Русьмедснаб» на действия уполномоченного органа, заказчика при проведении аукциона.</w:t>
      </w:r>
    </w:p>
    <w:p>
      <w:pPr>
        <w:pStyle w:val="Style13"/>
        <w:keepNext w:val="0"/>
        <w:keepLines w:val="0"/>
        <w:widowControl w:val="0"/>
        <w:shd w:val="clear" w:color="auto" w:fill="auto"/>
        <w:bidi w:val="0"/>
        <w:spacing w:before="0" w:after="320" w:line="240" w:lineRule="auto"/>
        <w:ind w:left="0" w:right="0" w:firstLine="600"/>
        <w:jc w:val="both"/>
      </w:pPr>
      <w:r>
        <w:rPr>
          <w:color w:val="000000"/>
          <w:spacing w:val="0"/>
          <w:w w:val="100"/>
          <w:position w:val="0"/>
          <w:shd w:val="clear" w:color="auto" w:fill="auto"/>
          <w:lang w:val="ru-RU" w:eastAsia="ru-RU" w:bidi="ru-RU"/>
        </w:rPr>
        <w:t>Существо жалобы: несоответствие извещения о проведении аукциона требованиям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5"/>
        <w:keepNext/>
        <w:keepLines/>
        <w:widowControl w:val="0"/>
        <w:shd w:val="clear" w:color="auto" w:fill="auto"/>
        <w:bidi w:val="0"/>
        <w:spacing w:before="0" w:line="240" w:lineRule="auto"/>
        <w:ind w:left="0" w:right="0" w:firstLine="0"/>
        <w:jc w:val="left"/>
      </w:pPr>
      <w:bookmarkStart w:id="0" w:name="bookmark0"/>
      <w:r>
        <w:rPr>
          <w:color w:val="000000"/>
          <w:spacing w:val="0"/>
          <w:w w:val="100"/>
          <w:position w:val="0"/>
          <w:shd w:val="clear" w:color="auto" w:fill="auto"/>
          <w:lang w:val="ru-RU" w:eastAsia="ru-RU" w:bidi="ru-RU"/>
        </w:rPr>
        <w:t>||||||||||||||||||||||||</w:t>
      </w:r>
      <w:bookmarkEnd w:id="0"/>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Жалоба была подана в Красноярское УФАС России в срок, установленный частью 2 статьи 105 Закона о контрактной системе, соответствовала требованиям части 4 статьи 105 указанного закона, в связи с чем была принята к рассмотрению по существу.</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адреса подателя жалобы, заказчика, уполномоченного органа, оператора электронной площадки было направлено уведомление о содержании жалобы с информацией о месте и времени ее рассмотрения.</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Заказчику, уполномоченному органу оператору электронной площадки было предложено предоставить в адрес Красноярского УФАС России документы и сведения, необходимые для рассмотрения жалобы по существу.</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Явку своих представителей на заседание Комиссии по рассмотрению жалобы по существу заказчик, уполномоченный орган обеспечили. Податель жалобы заявил ходатайство о рассмотрении жалобы посредством ВКС, по результатам рассмотрения в удовлетворении ходатайства было отказано. Податель жалобы явку представителя на заседание Комиссии очно не направил, будучи надлежащим образом уведомленным о времени и месте рассмотрения дела по существу.</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содержании жалобы указан следующий довод:</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по мнению подателя жалобы, в техническом задании прописаны требования к объекту закупки в позициях № 1 и № 2: Кювета для лабораторного анализатора ИВД, одноразового использования, а также указаны номера каталога КТРУ: 32.50.50.190</w:t>
        <w:softHyphen/>
        <w:t>00000898. При этом указано на невозможность поставки эквивалента согласно пп. в) пункта 1) части 1 статьи 33 Закона о контрактной системе. Податель жалобы указывает на то, что из регистрационного удостоверения ФСЗ № 2011/11181 от 07.12.2011 и инструкции по эксплуатации анализатора Сисмекс С8 20001 не следует, что анализатор не совместим с расходными материалами другого производителя, в связи с чем податель жалобы делает вывод, что расходный материал - кювета любого производителя может быть использована с анализатором Сисмекс С8 20001. На основании указанного довода податель жалобы считает, что техническое задание не соответствует правилам описания объекта закупки и ограничивает конкуренцию.</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Уполномоченный орган, заказчик с доводами жалобы в письменных пояснениях не согласились, просили в удовлетворении жалобы отказать, указывая на формирование положений извещения о проведении аукциона в соответствии с требованиями Закона о контрактной системе и фактической потребностью заказчика.</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Рассмотрев существо жалобы, документы и сведения, представленные Комиссии, проведя внеплановую проверку определения поставщика (подрядчика, исполнителя) на предмет соответствия требованиям законодательства Российской Федерации о контрактной системе в сфере закупок товаров, работ, услуг для государственных и муниципальных нужд, Комиссия установила следующие обстоятельства.</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связи с возникшей потребностью заказчика уполномоченным органом были совершены действия по определению поставщика (подрядчика, исполнителя) посредством проведения электронного аукциона.</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Согласно пункту 1 части 2 статьи 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33 Закона о контрактной системе.</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 xml:space="preserve">В силу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w:t>
      </w:r>
      <w:r>
        <w:rPr>
          <w:color w:val="000000"/>
          <w:spacing w:val="0"/>
          <w:w w:val="100"/>
          <w:position w:val="0"/>
          <w:shd w:val="clear" w:color="auto" w:fill="auto"/>
          <w:lang w:val="ru-RU" w:eastAsia="ru-RU" w:bidi="ru-RU"/>
        </w:rPr>
        <w:t>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13"/>
        <w:keepNext w:val="0"/>
        <w:keepLines w:val="0"/>
        <w:widowControl w:val="0"/>
        <w:numPr>
          <w:ilvl w:val="0"/>
          <w:numId w:val="1"/>
        </w:numPr>
        <w:shd w:val="clear" w:color="auto" w:fill="auto"/>
        <w:tabs>
          <w:tab w:pos="922" w:val="left"/>
        </w:tabs>
        <w:bidi w:val="0"/>
        <w:spacing w:before="0" w:after="0" w:line="240" w:lineRule="auto"/>
        <w:ind w:left="0" w:right="0" w:firstLine="600"/>
        <w:jc w:val="both"/>
      </w:pPr>
      <w:r>
        <w:rPr>
          <w:color w:val="000000"/>
          <w:spacing w:val="0"/>
          <w:w w:val="100"/>
          <w:position w:val="0"/>
          <w:shd w:val="clear" w:color="auto" w:fill="auto"/>
          <w:lang w:val="ru-RU" w:eastAsia="ru-RU" w:bidi="ru-RU"/>
        </w:rPr>
        <w:t>сопровождение такого указания словами «или эквивалент»;</w:t>
      </w:r>
    </w:p>
    <w:p>
      <w:pPr>
        <w:pStyle w:val="Style13"/>
        <w:keepNext w:val="0"/>
        <w:keepLines w:val="0"/>
        <w:widowControl w:val="0"/>
        <w:numPr>
          <w:ilvl w:val="0"/>
          <w:numId w:val="1"/>
        </w:numPr>
        <w:shd w:val="clear" w:color="auto" w:fill="auto"/>
        <w:tabs>
          <w:tab w:pos="913"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13"/>
        <w:keepNext w:val="0"/>
        <w:keepLines w:val="0"/>
        <w:widowControl w:val="0"/>
        <w:numPr>
          <w:ilvl w:val="0"/>
          <w:numId w:val="1"/>
        </w:numPr>
        <w:shd w:val="clear" w:color="auto" w:fill="auto"/>
        <w:tabs>
          <w:tab w:pos="908"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3"/>
        <w:keepNext w:val="0"/>
        <w:keepLines w:val="0"/>
        <w:widowControl w:val="0"/>
        <w:numPr>
          <w:ilvl w:val="0"/>
          <w:numId w:val="1"/>
        </w:numPr>
        <w:shd w:val="clear" w:color="auto" w:fill="auto"/>
        <w:tabs>
          <w:tab w:pos="907"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Из пункта 2 части 1 статьи 33 Закона о контрактной системе следует необходимость использования заказчиком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Согласно пункту 5 части 1 статьи 42 Закона о контактной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pPr>
        <w:pStyle w:val="Style13"/>
        <w:keepNext w:val="0"/>
        <w:keepLines w:val="0"/>
        <w:widowControl w:val="0"/>
        <w:numPr>
          <w:ilvl w:val="0"/>
          <w:numId w:val="3"/>
        </w:numPr>
        <w:shd w:val="clear" w:color="auto" w:fill="auto"/>
        <w:tabs>
          <w:tab w:pos="807"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наименование объекта закупки;</w:t>
      </w:r>
    </w:p>
    <w:p>
      <w:pPr>
        <w:pStyle w:val="Style13"/>
        <w:keepNext w:val="0"/>
        <w:keepLines w:val="0"/>
        <w:widowControl w:val="0"/>
        <w:numPr>
          <w:ilvl w:val="0"/>
          <w:numId w:val="3"/>
        </w:numPr>
        <w:shd w:val="clear" w:color="auto" w:fill="auto"/>
        <w:tabs>
          <w:tab w:pos="788"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информацию (при наличии), предусмотренную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Закона о контрактной системе.</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Часть 6 статьи 23 Закона о контрактной системе устанавливает,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(далее - Правила формирования формирования КТРУ), а также правила использования указанного каталога (далее - Правила использования КТРУ) устанавливаются Правительством Российской Федерации.</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Правила формирования КТРУ и Правила использования КТРУ утверждены постановлением Правительства Российской Федерации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Из пункта 4 Правил использования КТРУ следует, что заказчики обязаны применять информацию, включенную в позицию каталога в соответствии с подпунктами «б» - «г» и «е» - «з» пункта 10 Правил формирования КТРУ,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3"/>
        <w:keepNext w:val="0"/>
        <w:keepLines w:val="0"/>
        <w:widowControl w:val="0"/>
        <w:numPr>
          <w:ilvl w:val="0"/>
          <w:numId w:val="3"/>
        </w:numPr>
        <w:shd w:val="clear" w:color="auto" w:fill="auto"/>
        <w:tabs>
          <w:tab w:pos="807"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наименование товара, работы, услуги;</w:t>
      </w:r>
    </w:p>
    <w:p>
      <w:pPr>
        <w:pStyle w:val="Style13"/>
        <w:keepNext w:val="0"/>
        <w:keepLines w:val="0"/>
        <w:widowControl w:val="0"/>
        <w:numPr>
          <w:ilvl w:val="0"/>
          <w:numId w:val="3"/>
        </w:numPr>
        <w:shd w:val="clear" w:color="auto" w:fill="auto"/>
        <w:tabs>
          <w:tab w:pos="788"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единицы измерения количества товара, объема выполняемой работы, оказываемой услуги (при наличии);</w:t>
      </w:r>
    </w:p>
    <w:p>
      <w:pPr>
        <w:pStyle w:val="Style13"/>
        <w:keepNext w:val="0"/>
        <w:keepLines w:val="0"/>
        <w:widowControl w:val="0"/>
        <w:numPr>
          <w:ilvl w:val="0"/>
          <w:numId w:val="3"/>
        </w:numPr>
        <w:shd w:val="clear" w:color="auto" w:fill="auto"/>
        <w:tabs>
          <w:tab w:pos="807"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описание товара, работы, услуги (при наличии такого описания в позиции).</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Согласно пунктам 5, 6 Правил использования КТРУ заказчик вправе указать в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Закона о контрактной системе. В случае предоставления дополнительной информации, предусмотренной пунктом 5 Правил использования КТРУ,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На основании анализа положений извещения о проведении аукциона, сформированных с использованием ЕИС путем заполнения экранных форм веб-интерфейса ЕИС (часть 1 статьи 42 Закона о контрактной системе, пункт 3 Положения о порядке формирования и размещения информации и документов в единой информационной системе в сфере закупок, о требованиях к их формам, утвержденного постановлением Правительства Российской Федерации от 27.01.2022 № 60), а также путем прикрепления электронных документов (часть 2 статьи 42 Закона о контрактной системе, пункт 4 вышеуказанного Положения), Комиссия установила, что заказчиком осуществляется закупка товара - «Кювета для лабораторного анализатора ИВД, одноразового использования», соответствующего позиции КТРУ 32.50.50.190-00000898.</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В описании объекта закупки заказчиком помимо прочих установлены следующие условия, в том числе обжалуемые подателем жалобы:</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Комиссия установила, что в позиции КТРУ 32.50.50.190-00000898 описание характеристик отсутствует, соответственно, характеристики закупаемого товара определены заказчиком самостоятельно.</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Проанализировав Описание объекта закупки, Комиссия также установила, что в него включено обоснование установления дополнительных характеристик: «Применение параметров, условных обозначений и терминологии, касающихся технических, функциональных (потребительских свойств) и качественных характеристик объекта закупки, не учтенных каталогом товаров, работ, услуг обусловлено необходимостью поставки товара (оказания услуги/ выполнения работы) надлежащего качества, с параметрами в наибольшей степени удовлетворяющими потребности Заказчика».</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Также в описании объекта закупки содержится обоснование необходимости использования показателей, требований, условных обозначений и терминологии не установленных в соответствии с законодательством о техническом регулировании, законодательством о стандартизации РФ: «Применение параметров, условных обозначений и терминологии, касающихся технических, функциональных (потребительских свойств) и качественных характеристик товара, не учтенных Техническими Регламентами Таможенного Союза и национальными стандартами обусловлено необходимостью поставки товара надлежащего качества, с параметрами в наибольшей степени удовлетворяющими потребности Заказчика».</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Следует отметить, что какие-либо определенные критерии, требования к описанию обоснования использования дополнительных характеристик, а тем более о включении обосновывающих документов в содержание извещения о закупке законом не устанавливаются (данный вывод согласуется с позицией Арбитражного суда Красноярского края, изложенной в решении от 12.02.2018 по делу № А33-27978/2017).</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Извещение о проведении аукциона содержит обоснование необходимости использования показателей, значимых для заказчика, следовательно, заказчиком исполнены требования пункта 2 части 1 статьи 33 Закона о контрактной системе, пункта 6 Правил использования КТРУ</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В соответствии с части 1 статьи 38 Федерального закона от 21.11.2011 № 323-ФЗ «Об основах охраны здоровья граждан в Российской Федерации» (далее - Закон об основах охраны здоровья) медицинскими изделиями являются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 Медицинские изделия могут признаваться взаимозаменяемыми, если они сравнимы по функциональному назначению, качественным и техническим характеристикам и способны заменить друг друга.</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Согласно части 4 статьи 38 Закона об основах охраны здоровья на территории Российской Федерации разрешается обращение медицинских изделий, прошедших государственную регистрацию в порядке, установленном Правительством Российской Федерации, и медицинских изделий, прошедших регистрацию в соответствии с международными договорами и актами, составляющими право Евразийского экономического союза.</w:t>
      </w:r>
    </w:p>
    <w:p>
      <w:pPr>
        <w:pStyle w:val="Style13"/>
        <w:keepNext w:val="0"/>
        <w:keepLines w:val="0"/>
        <w:widowControl w:val="0"/>
        <w:shd w:val="clear" w:color="auto" w:fill="auto"/>
        <w:bidi w:val="0"/>
        <w:spacing w:before="0" w:after="0" w:line="240" w:lineRule="auto"/>
        <w:ind w:left="0" w:right="0" w:firstLine="600"/>
        <w:jc w:val="both"/>
        <w:sectPr>
          <w:footnotePr>
            <w:pos w:val="pageBottom"/>
            <w:numFmt w:val="decimal"/>
            <w:numRestart w:val="continuous"/>
          </w:footnotePr>
          <w:type w:val="continuous"/>
          <w:pgSz w:w="11900" w:h="16840"/>
          <w:pgMar w:top="324" w:right="532" w:bottom="1176" w:left="1096" w:header="0" w:footer="3" w:gutter="0"/>
          <w:cols w:space="720"/>
          <w:noEndnote/>
          <w:rtlGutter w:val="0"/>
          <w:docGrid w:linePitch="360"/>
        </w:sectPr>
      </w:pPr>
      <w:r>
        <w:rPr>
          <w:color w:val="000000"/>
          <w:spacing w:val="0"/>
          <w:w w:val="100"/>
          <w:position w:val="0"/>
          <w:shd w:val="clear" w:color="auto" w:fill="auto"/>
          <w:lang w:val="ru-RU" w:eastAsia="ru-RU" w:bidi="ru-RU"/>
        </w:rPr>
        <w:t>В силу части 3 статьи 38 Закона об основах охраны здоровья производство, изготовление, хранение, транспортировка, монтаж, наладка, применение, эксплуатация, в</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том числе техническое обслуживание, а также ремонт, утилизация или уничтожение медицинского изделия осуществляются в соответствии с разработанной производителем (изготовителем) медицинского изделия технической и (или) эксплуатационной документацией.</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В соответствии с пунктом 3.2 ГОСТ 31508-2012. Межгосударственный стандарт. Изделия медицинские. Классификация в зависимости от потенциального риска применения. Общие требования принадлежностями являются предметы, самостоятельно не являющиеся медицинскими изделиями и по целевому назначению применяемые совместно с медицинскими изделиями либо в их составе для того, чтобы медицинское изделие могло быть использовано в соответствии с целевым назначением.</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Согласно разъяснениям Росздравнадзора от 05.02.2018 № 09-С-571-1414 возможность эксплуатации медицинского оборудования одного производителя совместно с принадлежностями другого производителя определяется производителем медицинского оборудования. Совместное применение таких изделий без проведенных экспертиз на совместимость может привести к причинению вреда жизни, здоровью граждан и медицинских работников.</w:t>
      </w:r>
    </w:p>
    <w:p>
      <w:pPr>
        <w:pStyle w:val="Style13"/>
        <w:keepNext w:val="0"/>
        <w:keepLines w:val="0"/>
        <w:widowControl w:val="0"/>
        <w:shd w:val="clear" w:color="auto" w:fill="auto"/>
        <w:tabs>
          <w:tab w:pos="2630" w:val="left"/>
          <w:tab w:pos="5986" w:val="left"/>
          <w:tab w:pos="8366"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На</w:t>
        <w:tab/>
        <w:t>официальном</w:t>
        <w:tab/>
        <w:t>сайте</w:t>
        <w:tab/>
        <w:t>Росздравнадзора</w:t>
      </w:r>
    </w:p>
    <w:p>
      <w:pPr>
        <w:pStyle w:val="Style13"/>
        <w:keepNext w:val="0"/>
        <w:keepLines w:val="0"/>
        <w:widowControl w:val="0"/>
        <w:shd w:val="clear" w:color="auto" w:fill="auto"/>
        <w:tabs>
          <w:tab w:pos="2630" w:val="left"/>
          <w:tab w:pos="4771" w:val="left"/>
          <w:tab w:pos="6384" w:val="left"/>
          <w:tab w:pos="7819" w:val="left"/>
        </w:tabs>
        <w:bidi w:val="0"/>
        <w:spacing w:before="0" w:after="0" w:line="240" w:lineRule="auto"/>
        <w:ind w:left="0" w:right="0" w:firstLine="0"/>
        <w:jc w:val="both"/>
      </w:pPr>
      <w:r>
        <w:rPr>
          <w:color w:val="000000"/>
          <w:spacing w:val="0"/>
          <w:w w:val="100"/>
          <w:position w:val="0"/>
          <w:shd w:val="clear" w:color="auto" w:fill="auto"/>
          <w:lang w:val="ru-RU" w:eastAsia="ru-RU" w:bidi="ru-RU"/>
        </w:rPr>
        <w:t>(Ьир://^^^'.го8/НгаупаН/ог.ги/8егу1се8/т18еагсЬ) содержится Руководство по эксплуатации (далее - Руководство) к Анализатору коагулометрическому автоматическому С8, вариант исполнения:</w:t>
        <w:tab/>
        <w:t>С8-2000^</w:t>
        <w:tab/>
        <w:t>(РУ</w:t>
        <w:tab/>
        <w:t>от</w:t>
        <w:tab/>
        <w:t>25.12.2023</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 ФСЗ 2011/11181), которое содержит в себе лишь выдержки из Руководства, также на титульном листе указано: «см. на диске». Руководство, содержащееся в полном объеме на диске, который является неотъемлемой частью к оборудованию при его поставке, представлено заказчиком в материалы проверки.</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В полной версии Руководства указано: «Применяйте только специальные кюветы (8иС-400А)» (глава 5, стр. 5-21), «Используйте коническую пробирку для образцов 4 мл (код № 424-1160-8). Если для образцов используется иная пробирка, то забор реагента может происходить некорректно, что повлияет на результаты анализ» (глава 5, стр. 5-9), а также в списке расходных материалов указаны «Кюветы 8иС-400А», № детали 064-1481-0 и «Кононическая чашка для образца», № детали 424-1160-8 (глава 7, стр. 7-34).</w:t>
      </w:r>
    </w:p>
    <w:p>
      <w:pPr>
        <w:pStyle w:val="Style13"/>
        <w:keepNext w:val="0"/>
        <w:keepLines w:val="0"/>
        <w:widowControl w:val="0"/>
        <w:shd w:val="clear" w:color="auto" w:fill="auto"/>
        <w:bidi w:val="0"/>
        <w:spacing w:before="0" w:after="0" w:line="240" w:lineRule="auto"/>
        <w:ind w:left="0" w:right="0" w:firstLine="600"/>
        <w:jc w:val="both"/>
        <w:rPr>
          <w:sz w:val="24"/>
          <w:szCs w:val="24"/>
        </w:rPr>
      </w:pPr>
      <w:r>
        <w:rPr>
          <w:color w:val="000000"/>
          <w:spacing w:val="0"/>
          <w:w w:val="100"/>
          <w:position w:val="0"/>
          <w:sz w:val="26"/>
          <w:szCs w:val="26"/>
          <w:shd w:val="clear" w:color="auto" w:fill="auto"/>
          <w:lang w:val="ru-RU" w:eastAsia="ru-RU" w:bidi="ru-RU"/>
        </w:rPr>
        <w:t xml:space="preserve">В соответствии с письмом от 07.05.2024 исх. № 697 ООО «Сисмекс РУС», официального представителя Сисмекс Корпорейшн (Япония) на территории Российской Федерации, основанием для применения расходных материалов в работе анализатора автоматического коагулометрического С8-2000р производства Сисмекс Корпорейшн, Япония являются результаты испытаний расходных материалов совместно с анализатором на заводе производителя, а также результаты проведенных клинических испытаний в соответствии с согласованной и утвержденной программой испытаний с Уполномоченным представителем производителя оборудования и/или производителем оборудования в аккредитованной Росздравнадзором лаборатории. Необходимость использовать исключительно оригинальные расходные материалы, упомянутые в Руководстве пользователя обусловлена тем, что данные расходные материалы являются частью медицинского изделия, имеют определенное цветопропускание, форму и полностью совместимы с анализатором, что исключает поломки прибора и/или снижение результативности анализа. Перечни расходных материалов (указаны в таблице), аттестованных производителем для совместного использования с анализатором автоматическим коагулометрическим 0'^-20001. приведены в главе 7 Руководства по эксплуатации. Указанные расходные материалы прошли соответствующие испытания, зарегистрированы и допущены к обращению на территории Российской Федерации </w:t>
      </w:r>
      <w:r>
        <w:rPr>
          <w:color w:val="000000"/>
          <w:spacing w:val="0"/>
          <w:w w:val="100"/>
          <w:position w:val="0"/>
          <w:sz w:val="24"/>
          <w:szCs w:val="24"/>
          <w:shd w:val="clear" w:color="auto" w:fill="auto"/>
          <w:lang w:val="ru-RU" w:eastAsia="ru-RU" w:bidi="ru-RU"/>
        </w:rPr>
        <w:t>2024-16912</w:t>
      </w:r>
    </w:p>
    <w:p>
      <w:pPr>
        <w:pStyle w:val="Style13"/>
        <w:keepNext w:val="0"/>
        <w:keepLines w:val="0"/>
        <w:widowControl w:val="0"/>
        <w:shd w:val="clear" w:color="auto" w:fill="auto"/>
        <w:tabs>
          <w:tab w:pos="5410" w:val="left"/>
        </w:tabs>
        <w:bidi w:val="0"/>
        <w:spacing w:before="0" w:after="0" w:line="240" w:lineRule="auto"/>
        <w:ind w:left="0" w:right="0" w:firstLine="0"/>
        <w:jc w:val="both"/>
      </w:pPr>
      <w:r>
        <w:rPr>
          <w:color w:val="000000"/>
          <w:spacing w:val="0"/>
          <w:w w:val="100"/>
          <w:position w:val="0"/>
          <w:shd w:val="clear" w:color="auto" w:fill="auto"/>
          <w:lang w:val="ru-RU" w:eastAsia="ru-RU" w:bidi="ru-RU"/>
        </w:rPr>
        <w:t>согласно</w:t>
        <w:tab/>
        <w:t>РУ</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 ФСЗ 2011/11181. В настоящее время все вышеуказанные расходные материалы имеются в наличии у официальных дистрибьюторов продукции Сисмекс на территории РФ и реализуются без каких-либо ограничений. Несоблюдение данных рекомендаций может привести к комплексу последствий, в частности, нестабильной работе оборудования, низкой достоверности и воспроизводимости получаемых результатов анализа, что может повлечь за собой некорректную постановку диагноза пациенту и последующее неверное лечение.</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Вместе с тем, в соответствии с позицией Росздравнадзора, изложенной в письме от 20.05.2022 № 10-30847/22, если расходные материалы (аналоги), зарегистрированные в установленном порядке, успешно прошли исследования (испытания) с медицинским изделием, что подтверждается информацией, содержащейся в регистрационном досье данных расходных материалом (аналогов), то потребитель вправе использовать их наряду с оригинальными расходными материалами (аналогами) независимо от того, есть ли разрешение производителя основного медицинского изделия.</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Также в письме от 31.03.2023 № 10-18368/23 Росздравнадзор высказал свою позицию относительно использования расходных материалов иного, чем оборудование, производителя, указав что возможно применение медицинского изделия, производителем (изготовителем) которого в эксплуатационной документации установлен ограниченный перечень расходных материалов, с расходным материалом иного производителя (изготовителя), зарегистрированным в качестве медицинского изделия, если производитель (изготовитель) подтвердил в процессе его государственной регистрации возможность совместного применения с данным медицинским изделием. При этом совместное применение медицинского изделия с расходным материалом осуществляется с учетом особенностей, установленных в эксплуатационной документации производителя (изготовителя) на расходный материал.</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Порядок государственной регистрации медицинских изделий, подлежащих обращению на территории Российской Федерации, установлен правилами государственной регистрации медицинских изделий, утвержденными Постановлением Правительства Российской Федерации от 27.12.2012 № 1416 (далее - Правила).</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В соответствии с пунктом 6 Правил документом, подтверждающим факт государственной регистрации медицинского изделия, является регистрационное удостоверение на медицинское изделие.</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Согласно подпунктом «г» пункта 10 Правил для государственной регистрации медицинского изделия (за исключением медицинских изделий, включенных в перечень) представляется эксплуатационная документация производителя (изготовителя) на медицинское изделие, в том числе, инструкция по применению или руководство по эксплуатации медицинского изделия.</w:t>
      </w:r>
    </w:p>
    <w:p>
      <w:pPr>
        <w:pStyle w:val="Style13"/>
        <w:keepNext w:val="0"/>
        <w:keepLines w:val="0"/>
        <w:widowControl w:val="0"/>
        <w:shd w:val="clear" w:color="auto" w:fill="auto"/>
        <w:bidi w:val="0"/>
        <w:spacing w:before="0" w:after="0" w:line="259" w:lineRule="auto"/>
        <w:ind w:left="0" w:right="0" w:firstLine="600"/>
        <w:jc w:val="both"/>
        <w:rPr>
          <w:sz w:val="24"/>
          <w:szCs w:val="24"/>
        </w:rPr>
        <w:sectPr>
          <w:footerReference w:type="default" r:id="rId11"/>
          <w:footnotePr>
            <w:pos w:val="pageBottom"/>
            <w:numFmt w:val="decimal"/>
            <w:numRestart w:val="continuous"/>
          </w:footnotePr>
          <w:pgSz w:w="11900" w:h="16840"/>
          <w:pgMar w:top="1119" w:right="537" w:bottom="617" w:left="1100" w:header="691" w:footer="189" w:gutter="0"/>
          <w:cols w:space="720"/>
          <w:noEndnote/>
          <w:rtlGutter w:val="0"/>
          <w:docGrid w:linePitch="360"/>
        </w:sectPr>
      </w:pPr>
      <w:r>
        <w:rPr>
          <w:color w:val="000000"/>
          <w:spacing w:val="0"/>
          <w:w w:val="100"/>
          <w:position w:val="0"/>
          <w:sz w:val="26"/>
          <w:szCs w:val="26"/>
          <w:shd w:val="clear" w:color="auto" w:fill="auto"/>
          <w:lang w:val="ru-RU" w:eastAsia="ru-RU" w:bidi="ru-RU"/>
        </w:rPr>
        <w:t xml:space="preserve">Согласно подпункту 14 пункта 6 требований к содержанию технической и эксплуатационной документации производителя (изготовителя) медицинского изделия, утвержденных Приказом Минздрава России от 19.01.2017 № 11н (далее - Требования), эксплуатационная документация производителя (изготовителя) на медицинское изделие, представляемая производителем (изготовителем) или уполномоченным представителем производителя (изготовителя), в составе регистрационного досье на медицинское изделие, за исключением программного обеспечения, являющегося медицинским изделием, должна содержать информацию, необходимую для идентификации медицинских изделий с целью получения безопасной комбинации, и информацию об известных ограничениях по совместному использованию медицинских изделий (для медицинских изделий, </w:t>
      </w:r>
      <w:r>
        <w:rPr>
          <w:color w:val="000000"/>
          <w:spacing w:val="0"/>
          <w:w w:val="100"/>
          <w:position w:val="0"/>
          <w:sz w:val="24"/>
          <w:szCs w:val="24"/>
          <w:shd w:val="clear" w:color="auto" w:fill="auto"/>
          <w:lang w:val="ru-RU" w:eastAsia="ru-RU" w:bidi="ru-RU"/>
        </w:rPr>
        <w:t>2024-16912</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предназначенных для использования вместе с другими медицинскими изделиями и (или) принадлежностями).</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Следовательно, в эксплуатационной документации производителя указывается информация о совместимости или несовместимости медицинского изделия при его использовании с другими медицинскими изделиями.</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В соответствии с пунктом 13 Правил заявление о регистрации и документы, предусмотренные пунктом 10 Правил, представляются заявителем в регистрирующий орган.</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В соответствии с пунктом 15 Правил в течение 5 рабочих дней со дня поступления заявления о регистрации и документов, предусмотренных пунктом 10 Правил, регистрирующий орган проводит проверку полноты и достоверности содержащихся в них сведений, в том числе путем сравнения таких сведений со сведениями, представленными в порядке межведомственного информационного взаимодействия.</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Согласно пункту 17 Правил в течение 3 рабочих дней со дня представления надлежащим образом оформленного заявления о регистрации и в полном объеме документов, предусмотренных пунктом 10 данных Правил, а также в случае устранения в 30-дневный срок выявленных нарушений и (или) представления документов, предусмотренных пунктом 10 Правил, регистрирующий орган принимает решение о начале государственной регистрации медицинских изделий.</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Пунктом 20 Правил предусмотрено, что в течение 3 рабочих дней со дня принятия решения о начале государственной регистрации медицинских изделий (за исключением медицинских изделий, включенных в перечень) регистрирующий орган оформляет и выдает задание на проведение экспертизы качества, эффективности и безопасности медицинского изделия федеральному государственному бюджетному учреждению, находящемуся в ведении регистрирующего органа.</w:t>
      </w:r>
    </w:p>
    <w:p>
      <w:pPr>
        <w:pStyle w:val="Style13"/>
        <w:keepNext w:val="0"/>
        <w:keepLines w:val="0"/>
        <w:widowControl w:val="0"/>
        <w:shd w:val="clear" w:color="auto" w:fill="auto"/>
        <w:tabs>
          <w:tab w:pos="4642" w:val="left"/>
          <w:tab w:pos="4901" w:val="left"/>
          <w:tab w:pos="5933" w:val="left"/>
          <w:tab w:pos="7867" w:val="left"/>
          <w:tab w:pos="8256" w:val="left"/>
          <w:tab w:pos="9874"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В соответствии с пунктом 5 Правил государственная регистрация медицинских изделий проводится на основании результатов технических испытаний, токсикологических исследований, клинических испытаний, представляющих собой формы оценки соответствия медицинских изделий</w:t>
        <w:tab/>
        <w:t>с</w:t>
        <w:tab/>
        <w:t>учетом</w:t>
        <w:tab/>
        <w:t>классификации</w:t>
        <w:tab/>
        <w:t>в</w:t>
        <w:tab/>
        <w:t>зависимости</w:t>
        <w:tab/>
        <w:t>от</w:t>
      </w:r>
    </w:p>
    <w:p>
      <w:pPr>
        <w:pStyle w:val="Style13"/>
        <w:keepNext w:val="0"/>
        <w:keepLines w:val="0"/>
        <w:widowControl w:val="0"/>
        <w:shd w:val="clear" w:color="auto" w:fill="auto"/>
        <w:tabs>
          <w:tab w:pos="4642" w:val="left"/>
          <w:tab w:pos="4901" w:val="left"/>
          <w:tab w:pos="5933" w:val="left"/>
          <w:tab w:pos="7867" w:val="left"/>
          <w:tab w:pos="8256" w:val="left"/>
          <w:tab w:pos="9874" w:val="left"/>
        </w:tabs>
        <w:bidi w:val="0"/>
        <w:spacing w:before="0" w:after="0" w:line="240" w:lineRule="auto"/>
        <w:ind w:left="0" w:right="0" w:firstLine="0"/>
        <w:jc w:val="both"/>
      </w:pPr>
      <w:r>
        <w:rPr>
          <w:color w:val="000000"/>
          <w:spacing w:val="0"/>
          <w:w w:val="100"/>
          <w:position w:val="0"/>
          <w:shd w:val="clear" w:color="auto" w:fill="auto"/>
          <w:lang w:val="ru-RU" w:eastAsia="ru-RU" w:bidi="ru-RU"/>
        </w:rPr>
        <w:t>потенциального риска их применения, и экспертизы качества, эффективности и безопасности медицинских изделий</w:t>
        <w:tab/>
        <w:t>с</w:t>
        <w:tab/>
        <w:t>учетом</w:t>
        <w:tab/>
        <w:t>классификации</w:t>
        <w:tab/>
        <w:t>в</w:t>
        <w:tab/>
        <w:t>зависимости</w:t>
        <w:tab/>
        <w:t>от</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потенциального риска их применения, а также испытаний в целях утверждения типа средств измерений (в отношении медицинских изделий, относящихся к средствам измерений в сфере государственного регулирования обеспечения единства измерений, перечень которых утверждается Министерством здравоохранения Российской Федерации).</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Согласно пункту 21 Правил экспертиза качества, эффективности и безопасности медицинского изделия проводится экспертным учреждением поэтапно в соответствии с порядком, утверждаемым Министерством здравоохранения Российской Федерации:</w:t>
      </w:r>
    </w:p>
    <w:p>
      <w:pPr>
        <w:pStyle w:val="Style13"/>
        <w:keepNext w:val="0"/>
        <w:keepLines w:val="0"/>
        <w:widowControl w:val="0"/>
        <w:numPr>
          <w:ilvl w:val="0"/>
          <w:numId w:val="5"/>
        </w:numPr>
        <w:shd w:val="clear" w:color="auto" w:fill="auto"/>
        <w:tabs>
          <w:tab w:pos="917"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на I этапе осуществляется экспертиза заявления о регистрации и документов, указанных в пункте 10 данных Правил, для определения возможности (невозможности) проведения клинических испытаний медицинского изделия (за исключением медицинских изделий 1 класса потенциального риска применения, программного обеспечения, являющегося медицинским изделием, в том числе, программного обеспечения с применением технологий искусственного интеллекта, и медицинских изделий для диагностики т \'Пго. а также медицинских изделий, включенных в перечень);</w:t>
      </w:r>
    </w:p>
    <w:p>
      <w:pPr>
        <w:pStyle w:val="Style13"/>
        <w:keepNext w:val="0"/>
        <w:keepLines w:val="0"/>
        <w:widowControl w:val="0"/>
        <w:numPr>
          <w:ilvl w:val="0"/>
          <w:numId w:val="5"/>
        </w:numPr>
        <w:shd w:val="clear" w:color="auto" w:fill="auto"/>
        <w:tabs>
          <w:tab w:pos="917" w:val="left"/>
        </w:tabs>
        <w:bidi w:val="0"/>
        <w:spacing w:before="0" w:after="0" w:line="240" w:lineRule="auto"/>
        <w:ind w:left="0" w:right="0" w:firstLine="600"/>
        <w:jc w:val="both"/>
      </w:pPr>
      <w:r>
        <w:rPr>
          <w:color w:val="000000"/>
          <w:spacing w:val="0"/>
          <w:w w:val="100"/>
          <w:position w:val="0"/>
          <w:shd w:val="clear" w:color="auto" w:fill="auto"/>
          <w:lang w:val="ru-RU" w:eastAsia="ru-RU" w:bidi="ru-RU"/>
        </w:rPr>
        <w:t xml:space="preserve">на II этапе осуществляется экспертиза полноты и результатов проведенных технических испытаний, токсикологических исследований, клинических испытаний, а также испытаний в целях утверждения типа средств измерений (в отношении медицинских </w:t>
      </w:r>
      <w:r>
        <w:rPr>
          <w:color w:val="000000"/>
          <w:spacing w:val="0"/>
          <w:w w:val="100"/>
          <w:position w:val="0"/>
          <w:shd w:val="clear" w:color="auto" w:fill="auto"/>
          <w:lang w:val="ru-RU" w:eastAsia="ru-RU" w:bidi="ru-RU"/>
        </w:rPr>
        <w:t>изделий, относящихся к средствам измерений в сфере государственного регулирования обеспечения единства измерений, перечень которых утверждается Министерством здравоохранения Российской Федерации).</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 xml:space="preserve">В соответствии с пунктом 38 Порядка организации и проведения экспертизы качества, эффективности и безопасности медицинских изделий, утвержденного Приказом Минздрава России от 20.03.2020 № 206н (далее - Порядок), основаниями для вынесения экспертным учреждением заключения о невозможности проведения клинических испытаний медицинского изделия (за исключением медицинских изделий 1 класса потенциального риска применения, программного обеспечения, являющегося медицинским изделием, в том числе программного обеспечения с применением технологий искусственного интеллекта, и медицинских изделий для диагностики т </w:t>
      </w:r>
      <w:r>
        <w:rPr>
          <w:smallCaps/>
          <w:color w:val="000000"/>
          <w:spacing w:val="0"/>
          <w:w w:val="100"/>
          <w:position w:val="0"/>
          <w:shd w:val="clear" w:color="auto" w:fill="auto"/>
          <w:lang w:val="ru-RU" w:eastAsia="ru-RU" w:bidi="ru-RU"/>
        </w:rPr>
        <w:t>уПго.</w:t>
      </w:r>
      <w:r>
        <w:rPr>
          <w:color w:val="000000"/>
          <w:spacing w:val="0"/>
          <w:w w:val="100"/>
          <w:position w:val="0"/>
          <w:shd w:val="clear" w:color="auto" w:fill="auto"/>
          <w:lang w:val="ru-RU" w:eastAsia="ru-RU" w:bidi="ru-RU"/>
        </w:rPr>
        <w:t xml:space="preserve"> а также медицинских изделий, включенных в перечень) являются несоответствие медицинского изделия требованиям нормативной документации, технической и (или) эксплуатационной документации производителя (изготовителя), а также отсутствие доказательств безопасности медицинского изделия.</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 xml:space="preserve">Согласно пункта 41 Порядка основаниями для вынесения экспертным учреждением заключения о невозможности государственной регистрации медицинского изделия (по результатам экспертизы качества, эффективности и безопасности медицинского изделия (за исключением медицинских изделий 1 класса потенциального риска применения, программного обеспечения, являющегося медицинским изделием, в том числе программного обеспечения с применением технологий искусственного интеллекта, и медицинских изделий для диагностики т </w:t>
      </w:r>
      <w:r>
        <w:rPr>
          <w:smallCaps/>
          <w:color w:val="000000"/>
          <w:spacing w:val="0"/>
          <w:w w:val="100"/>
          <w:position w:val="0"/>
          <w:shd w:val="clear" w:color="auto" w:fill="auto"/>
          <w:lang w:val="ru-RU" w:eastAsia="ru-RU" w:bidi="ru-RU"/>
        </w:rPr>
        <w:t>уЛго,</w:t>
      </w:r>
      <w:r>
        <w:rPr>
          <w:color w:val="000000"/>
          <w:spacing w:val="0"/>
          <w:w w:val="100"/>
          <w:position w:val="0"/>
          <w:shd w:val="clear" w:color="auto" w:fill="auto"/>
          <w:lang w:val="ru-RU" w:eastAsia="ru-RU" w:bidi="ru-RU"/>
        </w:rPr>
        <w:t xml:space="preserve"> а также медицинских изделий, включенных в перечень) являются, в том числе, несоответствие медицинского изделия требованиям нормативной документации, технической и (или) эксплуатационной документации производителя (изготовителя) и неподтверждение качества, и (или) эффективности, и (или) безопасности регистрируемого медицинского изделия полученными данными.</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На основании изложенного, Комиссия считает, что возможность совместного применения медицинских изделий определяется, в том числе, в процессе государственной регистрации медицинских изделий на основании результатов технических испытаний, экспертизы качества, эффективности и безопасности медицинских изделий, и о возможности такого совместного использования указывается в технической документации производителя (изготовителя) на медицинское изделие и подтверждается регистрационным удостоверением как документом, удостоверяющим факт государственной регистрации медицинского изделия.</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Таким образом, подателем жалобы не представлено доказательств наличия на рынке кювет, совместимых с оборудованием заказчика, зарегистрированных в установленном порядке и успешно прошедших исследования (испытания) с медицинским изделием. У Комиссии такие доказательства также отсутствуют. Кроме того подателем жалобы не представлено доказательств отсутствия у него возможности приобрести оригинальные кюветы к оборудованию заказчика в целях участия в закупке.</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Наряду с вышеизложенным Комиссия отмечает, что системное толкование норм Закона о контрактной системе позволяет сделать вывод о том, что заказчик вправе предъявлять такие требования к качеству, техническим и функциональным характеристикам товара, которые соответствуют его потребностям с учетом специфики его деятельности и обеспечивают эффективное использование бюджетных средств, но не способствуют ограничению количества участников закупки. При этом заказчик вправе в необходимой степени детализировать объект закупки, уточнить его характеристики, поскольку потребности заказчика являются определяющим фактором при установлении соответствующих требований.</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Закон о контрактной системе не содержит норм, ограничивающих право заказчика включать в извещение о проведении закупки требований к объекту закупки, которые являются для него значимыми, равно как и норм, обязывающих заказчика устанавливать в этой документации, вопреки его потребностям, такие требования к характеристикам объекта закупки, которые соответствовали бы всем существующим видам товаров, работ, услуг.</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В данном случае установление в извещении о проведении аукциона иных требований к характеристикам закупаемого расходного материала для анализатора Сисмекс С8 20001 не будет служить цели удовлетворения потребности заказчика. Доказательства обратного у Комиссии отсутствуют.</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Формирование положений извещений о проведении закупок в сфере оказания медицинских услуг осуществляется заказчиком в целях достижения максимального результата лечения пациентов, с соблюдением принципов, закрепленных в статье 41 Конституции Российской Федерации и статье 4 Федерального закона от 21.11.2011 № 323- ФЗ «Об основах здоровья граждан в Российской Федерации», предусматривающих обеспечение прав граждан в сфере охраны здоровья, приоритет интересов пациента, доступность и качество при оказании медицинской помощи.</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Согласно письменным пояснениям заказчика при описании характеристик закупаемого товара он руководствовался своей объективной потребностью и учитывал специфику использования анализатора Сисмекс С8 20001, для которого закупаются расходные материалы, указав все необходимые показатели, используемые для определения соответствия предлагаемых товаров нуждам заказчика.</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Наряду с пояснениями со ссылками на Руководство по эксплуатации анализатора Сисмекс С8 2000^ и письмо от 07.05.2024 исх. № 697 ООО «Сисмекс РУС», заказчик также пояснил следующее:</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Согласно пункту 12 Правил проведения лабораторных исследований, утвержденных Приказом Минздрава России от 18.05.2021 № 464н (далее - Правила проведения лабораторных исследований), весь биологический материал человека, поступающий в медицинские и иные организации, осуществляющие медицинскую деятельность, должен рассматриваться как потенциально инфицированный. Работы со всем поступающим биологическим материалом в лаборатории должны проводиться с обеспечением биологической безопасности как в отношении сотрудников лаборатории, так и окружающей среды в соответствии с нормативными документами.</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Таким образом, работники лаборатории осуществляют работу с потенциально опасным материалом, и использование в своей работе принадлежностей, которые не проходили тестирование изготовителем оборудования, подвергает сотрудников медицинского учреждения дополнительному риску заражения, что в свою очередь прямо противоречит пункту 10 приложения № 2 «Правила организации деятельности клинико</w:t>
        <w:softHyphen/>
        <w:t>диагностической лаборатории (отдела, отделения)» к Правилам проведения лабораторных исследований, который устанавливает, что лаборатория осуществляет функцию по обеспечению мер биологической безопасности при работе с потенциально инфицированным биоматериалом, ведь при работе анализатора, кюветы подвергаются различным агрессивным воздействиям, таким как давление, нагрев, просвет. Таким образом, для обеспечения безопасности сотрудников медицинского учреждения важно, чтобы кюветы были протестированы и приспособлены именно для работы с имеющимся оборудованием.</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 xml:space="preserve">Также заказчику очень важен материал кювет и цвет кювет. При иммунотурбидиметрии происходит измерение концентрации специфических белков по </w:t>
      </w:r>
      <w:r>
        <w:rPr>
          <w:color w:val="000000"/>
          <w:spacing w:val="0"/>
          <w:w w:val="100"/>
          <w:position w:val="0"/>
          <w:shd w:val="clear" w:color="auto" w:fill="auto"/>
          <w:lang w:val="ru-RU" w:eastAsia="ru-RU" w:bidi="ru-RU"/>
        </w:rPr>
        <w:t>изменению степени мутности изучаемого образца. Для этого через кювету, содержащую биоматериал в виде суспензии, пропускают световые лучи заданной длины. При этом измеряется интенсивность прошедшего света с помощью спектрофотометра.</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Этот и остальные методы используются в работе анализатора и измерение параметров идет на разных длинах волн, т.е свет из источника падает на кювету с образцом пациента, проходит сквозь нее и, преломившись, попадает на приемное устройство, которое в зависимости от длины волн и определяемого параметра уже рассчитывает результат измерения.</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Так как длина луча, углы преломления были заданы заводом-изготовителем оборудования при использовании оригинальных принадлежностей, изменение угла преломления в связи с иным составом в кювете может стать фатальным для пациента.</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Рассматриваемое оборудование используется для анализа на гемостаз, определяет свертываемость крови. Если кровь слишком жидкая, пациенту дают препараты для свертываемости, если слишком густая - разжижают. Данный анализ делают пациентам при попадании в реанимацию с кровотечением, когда в короткий срок необходимо установить свертываемость крови для проведения операций, таким образом малейшая ошибка в данном случае будет летальной и времени для проведения большего количества анализов либо для перепроверки уже сделанных анализов нет. Так же пациентам поступающим в отделение неврологии с нарушениями мозгового кровообращения (инсульт) данный анализ должен быть сделан в течении крайне короткого периода времени (порядка 20 минут) после поступления в лечебное учреждение, то есть это критически важный анализ.</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В силу пункта 2 статьи 4 Федерального закона от 21.11.2011 № 323-ФЗ «Об основах охраны здоровья граждан в Российской Федерации» (далее - Закон об основах охраны здоровья граждан в Российской Федерации) одним из основных принципов охраны здоровья является приоритет интересов пациента при оказании медицинской помощи.</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Частью 2 статьи 98 Закона об основах охраны здоровья граждан в Российской Федерации предусмотрена ответственность медицинских работников в соответствии с законодательством Российской Федерации за нарушение прав в сфере охраны здоровья, причинение вреда жизни и (или) здоровью при оказании гражданам медицинской помощи.</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При установлении конкретных требований к объекту закупки определяющим является достижение соответствующего уровня безопасности при лечении пациентов, максимальное исключение любых нежелательных реакций и последствий в рамках оказания медицинской помощи.</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Таким образом, Описание объекта закупки составлено в соответствии с объективными потребностями Заказчика, исходя из необходимости достижения результатов и эффективности закупки, с учетом особенностей, имеющих принципиальную значимость для заказчика с учетом специфики его деятельности, в которой решающее значение имеет необходимость оказания качественной медицинской помощи.</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По смыслу статьи 33 Закона о контрактной системе, характеристики объекта закупки устанавливаются заказчиком исходя из цели заключения государственного контракта и соответствующих, определенных с учетом данных целей, потребностей заказчика. В рассматриваемом случае в описании объекта закупки извещения о проведении аукциона установлены четкие и конкретные требования к закупаемой смеси сухой белковой композитной с учетом потребности заказчика, отвечающей интересам пациентов, что не противоречит требованиям действующего законодательства.</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 xml:space="preserve">Таким образом, характеристики, включенные заказчиком в описание объекта закупки, сформированные с учетом нужд заказчика, не подлежат признанию избыточными, вопреки утверждению подателя жалобы об обратном. Предъявляемые заказчиком требования к </w:t>
      </w:r>
      <w:r>
        <w:rPr>
          <w:color w:val="000000"/>
          <w:spacing w:val="0"/>
          <w:w w:val="100"/>
          <w:position w:val="0"/>
          <w:shd w:val="clear" w:color="auto" w:fill="auto"/>
          <w:lang w:val="ru-RU" w:eastAsia="ru-RU" w:bidi="ru-RU"/>
        </w:rPr>
        <w:t>товару требований, подлежащих обязательному соблюдению, норм действующего законодательства не нарушают, доказательства обратного у Комиссии отсутствуют.</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Кроме того, податель жалобы не приводит доказательств того, что включение спорных характеристик не позволило ему определить потребность заказчика, сформировать свое предложение при проведении аукциона.</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Положения статьи 6 Закона о контрактной системе устанавливают, что 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Государственные органы, органы управления государственными внебюджетными фондами, муниципальные органы, казенные учреждения, иные юридические лица в случаях, установленных Законом о контрактной системе,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 (часть 1 статьи 12 Закона о контрактной системе).</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Таким образом, принципы обеспечения конкуренции и ответственности за результативность обеспечения государственных и муниципальных нужд, эффективности осуществления закупок являются равнозначными и подлежащими соблюдению в равной степени во всех случаях.</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Более того, основной задачей законодательства, устанавливающего порядок проведения торгов в целях удовлетворения государственных и муниципальных нужд, является не столько обеспечение максимально широкого круга участников,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закупок. В торгах могут участвовать лишь те лица, которые соответствуют названным целям. При этом для достижения указанной цели заказчик вправе в необходимой степени детализировать объект закупки (его характеристики) и в торгах могут участвовать лишь те лица, которые соответствуют названным целям. Таким образом, включение в документацию о торгах условий, которые в итоге приводят к исключению из круга участников закупки лиц, не отвечающих таким целям, не может рассматриваться как ограничение доступа к участию в торгах.</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Возможное сужение круга участников закупки с одновременным повышением эффективности использования финансирования (обеспечением его экономии) не может само по себе рассматриваться в качестве нарушения требований Закона о защите конкуренции. Аналогичная правовая позиция отражена в Обзоре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 Президиумом Верховного Суда РФ 28.06.2017).</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В настоящем решении Комиссией установлено, что при формировании описания объекта закупки заказчик исходил из фактической потребности заказчика, обусловленной необходимостью своевременного и качественного оказания медицинских услуг пациентам.</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Комиссией установлено, что на участие в аукционе подана одна заявка, которая признана аукционной комиссией соответствующей требованиям извещения о проведении аукциона. Доказательств того, что указанные в закупке требования ограничивают круг участников закупки Комиссии Красноярского УФАС России предоставлено не было.</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 xml:space="preserve">Тем самым, доводы подателя жалобы о наличии в описании объекта закупки </w:t>
      </w:r>
      <w:r>
        <w:rPr>
          <w:color w:val="000000"/>
          <w:spacing w:val="0"/>
          <w:w w:val="100"/>
          <w:position w:val="0"/>
          <w:shd w:val="clear" w:color="auto" w:fill="auto"/>
          <w:lang w:val="ru-RU" w:eastAsia="ru-RU" w:bidi="ru-RU"/>
        </w:rPr>
        <w:t>требований, которые, сужают круг участников закупки, не подтверждаются фактическими обстоятельствами.</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В связи с указанным Комиссия приходит к выводу о том, что действия уполномоченного органа, заказчика не противоречат положениям Закона о контрактной системе.</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Дополнительно Комиссия сообщает о том, что в соответствии с частью 1 статьи 2 Закона о контрактной системе Закон о защите конкуренции не входит в систему законодательства о контрактной системе, поэтому Комиссия не может давать оценку действий уполномоченного органа, заказчика при проведении закупки на предмет наличия признаков нарушения Закона о защите конкуренции.</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При этом жалоба не содержит доказательств нарушения субъектами контроля антимонопольных требований к торгам, что могло бы быть основанием для передачи материалов жалобы соответствующему структурному подразделению Красноярского УФАС России для рассмотрения вопроса о возбуждении антимонопольного дела в связи с нарушением запретов, установленных Законом о защите конкуренции.</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В случае, если хозяйствующий субъект обладает доказательствами, свидетельствующими о наличии признаков нарушения Закона о защите конкуренции, обращения (заявления) о нарушении антимонопольного законодательства при осуществлении закупочных процедур подлежат направлению и рассмотрению в соответствии с требованиями, установленными статьей 44 Закона о защите конкуренции.</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На основании вышеизложенных обстоятельств, в результате рассмотрения жалобы по существу и проведения внеплановой проверки, руководствуясь частями 3, 15 статьи 99, частью 8 статьи 106 Закона о контрактной системе Комиссия Красноярского УФАС России решила признать жалобу ООО «Русьмедснаб» необоснованной.</w:t>
      </w:r>
    </w:p>
    <w:p>
      <w:pPr>
        <w:pStyle w:val="Style13"/>
        <w:keepNext w:val="0"/>
        <w:keepLines w:val="0"/>
        <w:widowControl w:val="0"/>
        <w:shd w:val="clear" w:color="auto" w:fill="auto"/>
        <w:bidi w:val="0"/>
        <w:spacing w:before="0" w:after="340" w:line="240" w:lineRule="auto"/>
        <w:ind w:left="0" w:right="0" w:firstLine="600"/>
        <w:jc w:val="both"/>
      </w:pPr>
      <w:r>
        <w:rPr>
          <w:color w:val="000000"/>
          <w:spacing w:val="0"/>
          <w:w w:val="100"/>
          <w:position w:val="0"/>
          <w:shd w:val="clear" w:color="auto" w:fill="auto"/>
          <w:lang w:val="ru-RU" w:eastAsia="ru-RU" w:bidi="ru-RU"/>
        </w:rPr>
        <w:t>Настоящее решение может быть обжаловано в арбитражный суд Красноярского края в течение трех месяцев со дня его принятия.</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Председатель Комиссии</w:t>
      </w:r>
    </w:p>
    <w:p>
      <w:pPr>
        <w:pStyle w:val="Style13"/>
        <w:keepNext w:val="0"/>
        <w:keepLines w:val="0"/>
        <w:widowControl w:val="0"/>
        <w:shd w:val="clear" w:color="auto" w:fill="auto"/>
        <w:bidi w:val="0"/>
        <w:spacing w:before="0" w:after="80" w:line="211" w:lineRule="auto"/>
        <w:ind w:left="0" w:right="0" w:firstLine="0"/>
        <w:jc w:val="right"/>
      </w:pPr>
      <w:r>
        <w:rPr>
          <w:color w:val="000000"/>
          <w:spacing w:val="0"/>
          <w:w w:val="100"/>
          <w:position w:val="0"/>
          <w:shd w:val="clear" w:color="auto" w:fill="auto"/>
          <w:lang w:val="ru-RU" w:eastAsia="ru-RU" w:bidi="ru-RU"/>
        </w:rPr>
        <w:t>М.А. Дударева</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13"/>
        <w:keepNext w:val="0"/>
        <w:keepLines w:val="0"/>
        <w:widowControl w:val="0"/>
        <w:shd w:val="clear" w:color="auto" w:fill="auto"/>
        <w:bidi w:val="0"/>
        <w:spacing w:before="0" w:after="80" w:line="240" w:lineRule="auto"/>
        <w:ind w:left="0" w:right="0" w:firstLine="0"/>
        <w:jc w:val="right"/>
      </w:pPr>
      <w:r>
        <w:rPr>
          <w:color w:val="000000"/>
          <w:spacing w:val="0"/>
          <w:w w:val="100"/>
          <w:position w:val="0"/>
          <w:shd w:val="clear" w:color="auto" w:fill="auto"/>
          <w:lang w:val="ru-RU" w:eastAsia="ru-RU" w:bidi="ru-RU"/>
        </w:rPr>
        <w:t>М.А. Грицай</w:t>
      </w:r>
    </w:p>
    <w:p>
      <w:pPr>
        <w:pStyle w:val="Style13"/>
        <w:keepNext w:val="0"/>
        <w:keepLines w:val="0"/>
        <w:widowControl w:val="0"/>
        <w:shd w:val="clear" w:color="auto" w:fill="auto"/>
        <w:bidi w:val="0"/>
        <w:spacing w:before="0" w:after="1120" w:line="240" w:lineRule="auto"/>
        <w:ind w:left="0" w:right="0" w:firstLine="0"/>
        <w:jc w:val="right"/>
      </w:pPr>
      <w:r>
        <w:rPr>
          <w:color w:val="000000"/>
          <w:spacing w:val="0"/>
          <w:w w:val="100"/>
          <w:position w:val="0"/>
          <w:shd w:val="clear" w:color="auto" w:fill="auto"/>
          <w:lang w:val="ru-RU" w:eastAsia="ru-RU" w:bidi="ru-RU"/>
        </w:rPr>
        <w:t>А.А. Грузиненко</w:t>
      </w:r>
    </w:p>
    <w:p>
      <w:pPr>
        <w:pStyle w:val="Style19"/>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Исп.Грузиненко А.А. тел.211-01-44</w:t>
      </w:r>
    </w:p>
    <w:sectPr>
      <w:footerReference w:type="default" r:id="rId12"/>
      <w:footnotePr>
        <w:pos w:val="pageBottom"/>
        <w:numFmt w:val="decimal"/>
        <w:numRestart w:val="continuous"/>
      </w:footnotePr>
      <w:pgSz w:w="11900" w:h="16840"/>
      <w:pgMar w:top="1092" w:right="539" w:bottom="1139" w:left="1098" w:header="664"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725170</wp:posOffset>
              </wp:positionH>
              <wp:positionV relativeFrom="page">
                <wp:posOffset>10033635</wp:posOffset>
              </wp:positionV>
              <wp:extent cx="725170" cy="100330"/>
              <wp:wrapNone/>
              <wp:docPr id="3" name="Shape 3"/>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2024-16912</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7.100000000000001pt;margin-top:790.05000000000007pt;width:57.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2024-16912</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725170" cy="100330"/>
              <wp:wrapNone/>
              <wp:docPr id="5" name="Shape 5"/>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2024-16912</w:t>
                          </w:r>
                        </w:p>
                      </w:txbxContent>
                    </wps:txbx>
                    <wps:bodyPr wrap="none" lIns="0" tIns="0" rIns="0" bIns="0">
                      <a:spAutoFit/>
                    </wps:bodyPr>
                  </wps:wsp>
                </a:graphicData>
              </a:graphic>
            </wp:anchor>
          </w:drawing>
        </mc:Choice>
        <mc:Fallback>
          <w:pict>
            <v:shape id="_x0000_s1031" type="#_x0000_t202" style="position:absolute;margin-left:57.pt;margin-top:776.20000000000005pt;width:57.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2024-16912</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725170</wp:posOffset>
              </wp:positionH>
              <wp:positionV relativeFrom="page">
                <wp:posOffset>10033635</wp:posOffset>
              </wp:positionV>
              <wp:extent cx="725170" cy="100330"/>
              <wp:wrapNone/>
              <wp:docPr id="9" name="Shape 9"/>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2024-16912</w:t>
                          </w:r>
                        </w:p>
                      </w:txbxContent>
                    </wps:txbx>
                    <wps:bodyPr wrap="none" lIns="0" tIns="0" rIns="0" bIns="0">
                      <a:spAutoFit/>
                    </wps:bodyPr>
                  </wps:wsp>
                </a:graphicData>
              </a:graphic>
            </wp:anchor>
          </w:drawing>
        </mc:Choice>
        <mc:Fallback>
          <w:pict>
            <v:shape id="_x0000_s1035" type="#_x0000_t202" style="position:absolute;margin-left:57.100000000000001pt;margin-top:790.05000000000007pt;width:57.100000000000001pt;height:7.9000000000000004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2024-16912</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2)_"/>
    <w:basedOn w:val="DefaultParagraphFont"/>
    <w:link w:val="Style5"/>
    <w:rPr>
      <w:rFonts w:ascii="Times New Roman" w:eastAsia="Times New Roman" w:hAnsi="Times New Roman" w:cs="Times New Roman"/>
      <w:b w:val="0"/>
      <w:bCs w:val="0"/>
      <w:i w:val="0"/>
      <w:iCs w:val="0"/>
      <w:smallCaps w:val="0"/>
      <w:strike w:val="0"/>
      <w:color w:val="4360A3"/>
      <w:sz w:val="16"/>
      <w:szCs w:val="16"/>
      <w:u w:val="none"/>
    </w:rPr>
  </w:style>
  <w:style w:type="character" w:customStyle="1" w:styleId="CharStyle9">
    <w:name w:val="Основной текст (3)_"/>
    <w:basedOn w:val="DefaultParagraphFont"/>
    <w:link w:val="Style8"/>
    <w:rPr>
      <w:rFonts w:ascii="Times New Roman" w:eastAsia="Times New Roman" w:hAnsi="Times New Roman" w:cs="Times New Roman"/>
      <w:b/>
      <w:bCs/>
      <w:i w:val="0"/>
      <w:iCs w:val="0"/>
      <w:smallCaps w:val="0"/>
      <w:strike w:val="0"/>
      <w:color w:val="4360A3"/>
      <w:sz w:val="19"/>
      <w:szCs w:val="19"/>
      <w:u w:val="none"/>
    </w:rPr>
  </w:style>
  <w:style w:type="character" w:customStyle="1" w:styleId="CharStyle12">
    <w:name w:val="Подпись к картинке_"/>
    <w:basedOn w:val="DefaultParagraphFont"/>
    <w:link w:val="Style11"/>
    <w:rPr>
      <w:rFonts w:ascii="Times New Roman" w:eastAsia="Times New Roman" w:hAnsi="Times New Roman" w:cs="Times New Roman"/>
      <w:b w:val="0"/>
      <w:bCs w:val="0"/>
      <w:i w:val="0"/>
      <w:iCs w:val="0"/>
      <w:smallCaps w:val="0"/>
      <w:strike w:val="0"/>
      <w:color w:val="4360A3"/>
      <w:sz w:val="18"/>
      <w:szCs w:val="18"/>
      <w:u w:val="none"/>
    </w:rPr>
  </w:style>
  <w:style w:type="character" w:customStyle="1" w:styleId="CharStyle14">
    <w:name w:val="Основной текст_"/>
    <w:basedOn w:val="DefaultParagraphFont"/>
    <w:link w:val="Style13"/>
    <w:rPr>
      <w:rFonts w:ascii="Times New Roman" w:eastAsia="Times New Roman" w:hAnsi="Times New Roman" w:cs="Times New Roman"/>
      <w:b w:val="0"/>
      <w:bCs w:val="0"/>
      <w:i w:val="0"/>
      <w:iCs w:val="0"/>
      <w:smallCaps w:val="0"/>
      <w:strike w:val="0"/>
      <w:sz w:val="26"/>
      <w:szCs w:val="26"/>
      <w:u w:val="none"/>
    </w:rPr>
  </w:style>
  <w:style w:type="character" w:customStyle="1" w:styleId="CharStyle16">
    <w:name w:val="Заголовок №1_"/>
    <w:basedOn w:val="DefaultParagraphFont"/>
    <w:link w:val="Style15"/>
    <w:rPr>
      <w:rFonts w:ascii="Arial" w:eastAsia="Arial" w:hAnsi="Arial" w:cs="Arial"/>
      <w:b w:val="0"/>
      <w:bCs w:val="0"/>
      <w:i w:val="0"/>
      <w:iCs w:val="0"/>
      <w:smallCaps w:val="0"/>
      <w:strike w:val="0"/>
      <w:sz w:val="38"/>
      <w:szCs w:val="38"/>
      <w:u w:val="none"/>
    </w:rPr>
  </w:style>
  <w:style w:type="character" w:customStyle="1" w:styleId="CharStyle20">
    <w:name w:val="Основной текст (4)_"/>
    <w:basedOn w:val="DefaultParagraphFont"/>
    <w:link w:val="Style19"/>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2)"/>
    <w:basedOn w:val="Normal"/>
    <w:link w:val="CharStyle6"/>
    <w:pPr>
      <w:widowControl w:val="0"/>
      <w:shd w:val="clear" w:color="auto" w:fill="auto"/>
      <w:spacing w:after="440" w:line="281" w:lineRule="auto"/>
      <w:jc w:val="center"/>
    </w:pPr>
    <w:rPr>
      <w:rFonts w:ascii="Times New Roman" w:eastAsia="Times New Roman" w:hAnsi="Times New Roman" w:cs="Times New Roman"/>
      <w:b w:val="0"/>
      <w:bCs w:val="0"/>
      <w:i w:val="0"/>
      <w:iCs w:val="0"/>
      <w:smallCaps w:val="0"/>
      <w:strike w:val="0"/>
      <w:color w:val="4360A3"/>
      <w:sz w:val="16"/>
      <w:szCs w:val="16"/>
      <w:u w:val="none"/>
    </w:rPr>
  </w:style>
  <w:style w:type="paragraph" w:customStyle="1" w:styleId="Style8">
    <w:name w:val="Основной текст (3)"/>
    <w:basedOn w:val="Normal"/>
    <w:link w:val="CharStyle9"/>
    <w:pPr>
      <w:widowControl w:val="0"/>
      <w:shd w:val="clear" w:color="auto" w:fill="auto"/>
      <w:spacing w:after="180"/>
      <w:jc w:val="center"/>
    </w:pPr>
    <w:rPr>
      <w:rFonts w:ascii="Times New Roman" w:eastAsia="Times New Roman" w:hAnsi="Times New Roman" w:cs="Times New Roman"/>
      <w:b/>
      <w:bCs/>
      <w:i w:val="0"/>
      <w:iCs w:val="0"/>
      <w:smallCaps w:val="0"/>
      <w:strike w:val="0"/>
      <w:color w:val="4360A3"/>
      <w:sz w:val="19"/>
      <w:szCs w:val="19"/>
      <w:u w:val="none"/>
    </w:rPr>
  </w:style>
  <w:style w:type="paragraph" w:customStyle="1" w:styleId="Style11">
    <w:name w:val="Подпись к картинке"/>
    <w:basedOn w:val="Normal"/>
    <w:link w:val="CharStyle12"/>
    <w:pPr>
      <w:widowControl w:val="0"/>
      <w:shd w:val="clear" w:color="auto" w:fill="auto"/>
      <w:spacing w:line="264" w:lineRule="auto"/>
    </w:pPr>
    <w:rPr>
      <w:rFonts w:ascii="Times New Roman" w:eastAsia="Times New Roman" w:hAnsi="Times New Roman" w:cs="Times New Roman"/>
      <w:b w:val="0"/>
      <w:bCs w:val="0"/>
      <w:i w:val="0"/>
      <w:iCs w:val="0"/>
      <w:smallCaps w:val="0"/>
      <w:strike w:val="0"/>
      <w:color w:val="4360A3"/>
      <w:sz w:val="18"/>
      <w:szCs w:val="18"/>
      <w:u w:val="none"/>
    </w:rPr>
  </w:style>
  <w:style w:type="paragraph" w:customStyle="1" w:styleId="Style13">
    <w:name w:val="Основной текст"/>
    <w:basedOn w:val="Normal"/>
    <w:link w:val="CharStyle14"/>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5">
    <w:name w:val="Заголовок №1"/>
    <w:basedOn w:val="Normal"/>
    <w:link w:val="CharStyle16"/>
    <w:pPr>
      <w:widowControl w:val="0"/>
      <w:shd w:val="clear" w:color="auto" w:fill="auto"/>
      <w:spacing w:after="300"/>
      <w:outlineLvl w:val="0"/>
    </w:pPr>
    <w:rPr>
      <w:rFonts w:ascii="Arial" w:eastAsia="Arial" w:hAnsi="Arial" w:cs="Arial"/>
      <w:b w:val="0"/>
      <w:bCs w:val="0"/>
      <w:i w:val="0"/>
      <w:iCs w:val="0"/>
      <w:smallCaps w:val="0"/>
      <w:strike w:val="0"/>
      <w:sz w:val="38"/>
      <w:szCs w:val="38"/>
      <w:u w:val="none"/>
    </w:rPr>
  </w:style>
  <w:style w:type="paragraph" w:customStyle="1" w:styleId="Style19">
    <w:name w:val="Основной текст (4)"/>
    <w:basedOn w:val="Normal"/>
    <w:link w:val="CharStyle20"/>
    <w:pPr>
      <w:widowControl w:val="0"/>
      <w:shd w:val="clear" w:color="auto" w:fill="auto"/>
      <w:spacing w:after="22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footer" Target="footer3.xml"/><Relationship Id="rId12" Type="http://schemas.openxmlformats.org/officeDocument/2006/relationships/footer" Target="footer4.xml"/></Relationships>
</file>