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1778635</wp:posOffset>
            </wp:positionH>
            <wp:positionV relativeFrom="margin">
              <wp:posOffset>0</wp:posOffset>
            </wp:positionV>
            <wp:extent cx="530225" cy="57277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5727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37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94" w:right="536" w:bottom="1216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Алтайскому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Пролетарская, 65, г. Барнаул, 656056</w:t>
        <w:br/>
        <w:t>тел. (3852) 24-54-47. факс (3852) 24-68-81</w:t>
        <w:br/>
        <w:t>е-тай: 1о22@(а8.§оу.ги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АК/9483/2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  <w:rPr>
          <w:sz w:val="20"/>
          <w:szCs w:val="20"/>
        </w:rPr>
      </w:pPr>
      <w:r>
        <w:rPr>
          <w:b w:val="0"/>
          <w:bCs w:val="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Решение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«Брокер групп»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614042, Пермский край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Пермь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Пензинская, 57-2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Целинного района Алтайского края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659430, Алтайский край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Целинный район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 Целинное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617" w:bottom="1313" w:left="1125" w:header="0" w:footer="3" w:gutter="0"/>
          <w:cols w:num="2" w:space="720" w:equalWidth="0">
            <w:col w:w="4224" w:space="1056"/>
            <w:col w:w="4877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Советская, 17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8" w:after="6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0" w:right="0" w:bottom="123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по делу № 022/06/105-1165/2024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347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«14» октября 2024г.</w:t>
        <w:tab/>
        <w:t>г. Барнаул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Алтайскому краю по контролю в сфере закупок (далее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Председателя: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Кочеткова А.В. - заместителя руководителя управления - начальника отдела контроля закупок,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Бурбах А.Ю. - ведущего специалиста-эксперта отдела контроля закупок,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Тетериной О.В. - ведущего специалиста-эксперта отдела контроля закупок,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участием представителей: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заявителя ООО «Брокер групп» не явился, уведомлен;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заказчика - Администрации Целинного района Алтайского края: Артамонова А.Ю.;</w:t>
      </w:r>
      <w:bookmarkEnd w:id="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«Брокер групп» на закупку № 0117300009824000011 «Выполнение работ по строительству жилого дома по адресу: Алтайский край, Целинный район, с. Дружба, ул. Полевая, 26», согласно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доводам жалобы ООО «Брокер групп», извещение о проведении электронного аукциона, в части установления Заказчиком требования, предъявляемого к участникам закупки 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соответствии с п.1 ч. 1 ст. 31 Закона о контрактной системе, и исчерпывающего перечня документов, подтверждающих соответствие участника закупки такому требованию, нарушает нормы Закона о контрактной системе.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изложенного, ООО «Брокер групп» просит»: признать жалобу обоснованной, провести внеплановую проверку, выдать Заказчику предписание о внесение изменений.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Заказчика с доводами жалобы не согласился. Просил признать жалобу ООО «Брокер групп»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Заслушав представителя, изучив представленные документы в ходе внеплановой проверки, Комиссия УФАС по Алтайскому краю по контролю в сфере закупок пришла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«30» сентября 2024 года Заказчиком опубликовано извещение №</w:t>
      </w:r>
      <w:r>
        <w:fldChar w:fldCharType="begin"/>
      </w:r>
      <w:r>
        <w:rPr/>
        <w:instrText> HYPERLINK "https://zakupki.gov.ru/epz/order/notice/ea20/view/common-info.html?regNumber=0117300009824000011"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0117300009824000011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«Выполнение работ по строительству жилого дома по адресу: Алтайский край, Целинный район, с. Дружба, ул. Полевая, д. 26».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контракта: 6 217 148,93 руб.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12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</w:t>
      </w:r>
      <w:r>
        <w:fldChar w:fldCharType="begin"/>
      </w:r>
      <w:r>
        <w:rPr/>
        <w:instrText> HYPERLINK "https://login.consultant.ru/link/?req=doc&amp;base=LAW&amp;n=483131&amp;dst=2213"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частью 1 статьи 31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настоящего Федерального закона, требования, предъявляемые к участникам закупки в соответствии с </w:t>
      </w:r>
      <w:r>
        <w:fldChar w:fldCharType="begin"/>
      </w:r>
      <w:r>
        <w:rPr/>
        <w:instrText> HYPERLINK "https://login.consultant.ru/link/?req=doc&amp;base=LAW&amp;n=483131&amp;dst=2216"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частями 2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</w:t>
      </w:r>
      <w:r>
        <w:fldChar w:fldCharType="begin"/>
      </w:r>
      <w:r>
        <w:rPr/>
        <w:instrText> HYPERLINK "https://login.consultant.ru/link/?req=doc&amp;base=LAW&amp;n=483131&amp;dst=2217"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2.1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</w:t>
      </w:r>
      <w:r>
        <w:fldChar w:fldCharType="begin"/>
      </w:r>
      <w:r>
        <w:rPr/>
        <w:instrText> HYPERLINK "https://login.consultant.ru/link/?req=doc&amp;base=LAW&amp;n=483131&amp;dst=2001"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частью 1.1 статьи 31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 (при наличии такого требования).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Извещением закупки установлены требования (п.4) к участникам закупок в соответствии с п. 1 ч. 1 ст. 31 Закона о контрактной системе: участник закупки должен являться индивидуальным предпринимателем или юридическим лицом. Документ подтверждающий соответствие участника требованиям: Представление участником закупки в составе заявки документов, подтверждающих соответствие участника указанным требованиям, не требуется. Соответствие участника закупки указанным требованиям подтверждается сведениями, содержащимися в выписке из единого государственного реестра юридических лиц (для юридического лица), выписке из единого государственного реестра индивидуальных предпринимателей (для индивидуального предпринимателя), надлежащим образом заверенном переводе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Данные документы направляются оператором электронной площадки, оператором специализированной электронной площадки путем информационного взаимодействия с единой информационной системой 2. Участник закупки должен являться членом саморегулируемой организаций в области строительства, реконструкции, капитального ремонта объектов капитального строительства. Данное требование не распространяется на случаи, установленные частями 2.1. и 2.2. ст. 52 ГрК РФ. Документ, подтверждающий соответствие участника требованиям: Подтверждающий документ не предоставляется участником закупки в составе заявки. Нормативный правовой акт, устанавливающий такие требования: Градостроительный кодекс РФ.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ч. 2.1 ст. 52 Градостроительного кодекса Российской Федерации (ГрК РФ) индивидуальный предприниматель или юридическое лицо, не являющиеся членами саморегулируемых организаций в области строительства, реконструкции, капитального ремонта объектов капитального строительства, могут выполнять работы по договорам строительного подряда, заключенным с застройщиком, техническим заказчиком, лицом, ответственным за эксплуатацию здания, сооружения, региональным оператором, в случае, если размер обязательств по каждому из таких договоров не превышает десяти миллионов рублей.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Учитывая, что требование не распространяется на случаи, установленные частями 2.1. и 2.2. ст. 52 ГрК РФ, в действиях Заказчика отсутствуют нарушения требований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таких обстоятельствах, доводы жалобы ООО «Брокер групп» не подлежат удовлетворению.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Комиссия, руководствуясь ст. 99, 106 Закона о контрактной системе,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«Брокер групп»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судебном порядке в течение трех месяцев со дня его принятия.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left"/>
      </w:pPr>
      <w:r>
        <w:drawing>
          <wp:anchor distT="0" distB="0" distL="114300" distR="1900555" simplePos="0" relativeHeight="125829379" behindDoc="0" locked="0" layoutInCell="1" allowOverlap="1">
            <wp:simplePos x="0" y="0"/>
            <wp:positionH relativeFrom="page">
              <wp:posOffset>4897120</wp:posOffset>
            </wp:positionH>
            <wp:positionV relativeFrom="paragraph">
              <wp:posOffset>50800</wp:posOffset>
            </wp:positionV>
            <wp:extent cx="353695" cy="536575"/>
            <wp:wrapSquare wrapText="lef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5354320</wp:posOffset>
                </wp:positionH>
                <wp:positionV relativeFrom="paragraph">
                  <wp:posOffset>453390</wp:posOffset>
                </wp:positionV>
                <wp:extent cx="1283335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21.60000000000002pt;margin-top:35.7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5311775</wp:posOffset>
                </wp:positionH>
                <wp:positionV relativeFrom="paragraph">
                  <wp:posOffset>142240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18.25pt;margin-top:11.200000000000001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Кочетков Андрей Васильевич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4608ЕА71ЗЕ2064А37718Е945Е6736О15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19.06.2024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12.09.2025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left"/>
      </w:pPr>
      <w:r>
        <w:drawing>
          <wp:anchor distT="0" distB="0" distL="114300" distR="1900555" simplePos="0" relativeHeight="125829380" behindDoc="0" locked="0" layoutInCell="1" allowOverlap="1">
            <wp:simplePos x="0" y="0"/>
            <wp:positionH relativeFrom="page">
              <wp:posOffset>4897120</wp:posOffset>
            </wp:positionH>
            <wp:positionV relativeFrom="paragraph">
              <wp:posOffset>63500</wp:posOffset>
            </wp:positionV>
            <wp:extent cx="353695" cy="536575"/>
            <wp:wrapSquare wrapText="lef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5354320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21.60000000000002pt;margin-top:36.7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5311775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18.25pt;margin-top:12.2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Бурбах Анна Юрьевна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75972СО73239СС190ЕОЕ06115ЕЕ8Е567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09.11.2023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01.02.2025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0" w:right="538" w:bottom="1232" w:left="1105" w:header="0" w:footer="3" w:gutter="0"/>
          <w:cols w:space="720"/>
          <w:noEndnote/>
          <w:rtlGutter w:val="0"/>
          <w:docGrid w:linePitch="360"/>
        </w:sectPr>
      </w:pPr>
      <w:r>
        <w:drawing>
          <wp:anchor distT="215900" distB="0" distL="0" distR="1786255" simplePos="0" relativeHeight="125829381" behindDoc="0" locked="0" layoutInCell="1" allowOverlap="1">
            <wp:simplePos x="0" y="0"/>
            <wp:positionH relativeFrom="page">
              <wp:posOffset>4918075</wp:posOffset>
            </wp:positionH>
            <wp:positionV relativeFrom="paragraph">
              <wp:posOffset>215900</wp:posOffset>
            </wp:positionV>
            <wp:extent cx="353695" cy="53657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5375275</wp:posOffset>
                </wp:positionH>
                <wp:positionV relativeFrom="paragraph">
                  <wp:posOffset>618490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23.25pt;margin-top:48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5332730</wp:posOffset>
                </wp:positionH>
                <wp:positionV relativeFrom="paragraph">
                  <wp:posOffset>304165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19.90000000000003pt;margin-top:23.949999999999999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6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Тетерина Ольга Владимировна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1803ВА8708В3340Е877ЕЕВВС47604152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60"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04.05.2024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28.07.2025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9975215</wp:posOffset>
              </wp:positionV>
              <wp:extent cx="7194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2024-11286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050000000000004pt;margin-top:785.45000000000005pt;width:56.649999999999999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2024-11286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94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2024-11286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6.6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2024-11286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7164F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7164F"/>
      <w:sz w:val="19"/>
      <w:szCs w:val="19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24">
    <w:name w:val="Заголовок №1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E4E4E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7164F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42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7164F"/>
      <w:sz w:val="19"/>
      <w:szCs w:val="19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auto"/>
      <w:spacing w:after="240"/>
      <w:ind w:firstLine="5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66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E4E4E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