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60" w:line="240" w:lineRule="auto"/>
        <w:ind w:left="0" w:right="0" w:firstLine="0"/>
        <w:jc w:val="both"/>
        <w:rPr>
          <w:sz w:val="20"/>
          <w:szCs w:val="20"/>
        </w:rPr>
      </w:pPr>
      <w:r>
        <w:rPr>
          <w:b w:val="0"/>
          <w:bCs w:val="0"/>
          <w:spacing w:val="0"/>
          <w:w w:val="100"/>
          <w:position w:val="0"/>
          <w:sz w:val="20"/>
          <w:szCs w:val="20"/>
          <w:shd w:val="clear" w:color="auto" w:fill="auto"/>
          <w:lang w:val="ru-RU" w:eastAsia="ru-RU" w:bidi="ru-RU"/>
        </w:rPr>
        <w:tab/>
        <w:t xml:space="preserve"> №</w:t>
        <w:tab/>
      </w:r>
    </w:p>
    <w:p>
      <w:pPr>
        <w:pStyle w:val="Style1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Агентство государственного заказа Красноярского края пр-т. Мира, д. 10, оф. 53, г. Красноярск, 660049 адх_рпет@таП.ш;</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адх ро1охко\'а@1па11.Г11</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КГБУЗ «Большемуртинская районная больница»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Советская, д. 152,</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пгт. Большая Мурта, Красноярский край, 663060 тш!агЬ@таП.ш;</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ип81ЬтсгЬ@таП.ш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«Южно-уральский центр снабжения» ул. Богачева, д. 12, г. Миасс,</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Челябинская область, 456320</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уигс8-1М@уапдех.ш;</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тГо@уигс8.ш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наб. Тараса Шевченко, д. 23-А,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Москва, 121151</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ко@118-1епдег.ш;</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4" w:right="1026" w:bottom="1313" w:left="1140" w:header="0" w:footer="3" w:gutter="0"/>
          <w:pgNumType w:start="1"/>
          <w:cols w:num="2" w:space="797"/>
          <w:noEndnote/>
          <w:titlePg/>
          <w:rtlGutter w:val="0"/>
          <w:docGrid w:linePitch="360"/>
        </w:sectPr>
      </w:pPr>
      <w:r>
        <w:rPr>
          <w:color w:val="000000"/>
          <w:spacing w:val="0"/>
          <w:w w:val="100"/>
          <w:position w:val="0"/>
          <w:sz w:val="24"/>
          <w:szCs w:val="24"/>
          <w:shd w:val="clear" w:color="auto" w:fill="auto"/>
          <w:lang w:val="ru-RU" w:eastAsia="ru-RU" w:bidi="ru-RU"/>
        </w:rPr>
        <w:t>тГо@1Д8-1епдег.ш</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61" w:right="0" w:bottom="1235" w:left="0"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378" behindDoc="0" locked="0" layoutInCell="1" allowOverlap="1">
                <wp:simplePos x="0" y="0"/>
                <wp:positionH relativeFrom="page">
                  <wp:posOffset>708660</wp:posOffset>
                </wp:positionH>
                <wp:positionV relativeFrom="paragraph">
                  <wp:posOffset>2453640</wp:posOffset>
                </wp:positionV>
                <wp:extent cx="6501130" cy="563880"/>
                <wp:wrapTopAndBottom/>
                <wp:docPr id="7" name="Shape 7"/>
                <a:graphic xmlns:a="http://schemas.openxmlformats.org/drawingml/2006/main">
                  <a:graphicData uri="http://schemas.microsoft.com/office/word/2010/wordprocessingShape">
                    <wps:wsp>
                      <wps:cNvSpPr txBox="1"/>
                      <wps:spPr>
                        <a:xfrm>
                          <a:ext cx="6501130" cy="563880"/>
                        </a:xfrm>
                        <a:prstGeom prst="rect"/>
                        <a:noFill/>
                      </wps:spPr>
                      <wps:txbx>
                        <w:txbxContent>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адрес Красноярского УФАС России поступила жалоба ООО «Южно-Уральский центр снабжения» (далее - податель жалобы) на действия заказчика, уполномоченного органа при проведении электронного аукциона, номер извещения 0119200000124016793.</w:t>
                            </w:r>
                          </w:p>
                        </w:txbxContent>
                      </wps:txbx>
                      <wps:bodyPr lIns="0" tIns="0" rIns="0" bIns="0">
                        <a:noAutoFit/>
                      </wps:bodyPr>
                    </wps:wsp>
                  </a:graphicData>
                </a:graphic>
              </wp:anchor>
            </w:drawing>
          </mc:Choice>
          <mc:Fallback>
            <w:pict>
              <v:shape id="_x0000_s1033" type="#_x0000_t202" style="position:absolute;margin-left:55.800000000000004pt;margin-top:193.20000000000002pt;width:511.90000000000003pt;height:44.399999999999999pt;z-index:-12582937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адрес Красноярского УФАС России поступила жалоба ООО «Южно-Уральский центр снабжения» (далее - податель жалобы) на действия заказчика, уполномоченного органа при проведении электронного аукциона, номер извещения 0119200000124016793.</w:t>
                      </w:r>
                    </w:p>
                  </w:txbxContent>
                </v:textbox>
                <w10:wrap type="topAndBottom" anchorx="page"/>
              </v:shape>
            </w:pict>
          </mc:Fallback>
        </mc:AlternateContent>
      </w:r>
      <w:r>
        <w:drawing>
          <wp:anchor distT="266700" distB="0" distL="114300" distR="114300" simplePos="0" relativeHeight="125829380" behindDoc="0" locked="0" layoutInCell="1" allowOverlap="1">
            <wp:simplePos x="0" y="0"/>
            <wp:positionH relativeFrom="page">
              <wp:posOffset>717550</wp:posOffset>
            </wp:positionH>
            <wp:positionV relativeFrom="paragraph">
              <wp:posOffset>3230880</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1517650" cy="292735"/>
                    </a:xfrm>
                    <a:prstGeom prst="rect"/>
                  </pic:spPr>
                </pic:pic>
              </a:graphicData>
            </a:graphic>
          </wp:anchor>
        </w:drawing>
      </w: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№024/06/106-3267/2024</w:t>
      </w:r>
    </w:p>
    <w:p>
      <w:pPr>
        <w:pStyle w:val="Style13"/>
        <w:keepNext w:val="0"/>
        <w:keepLines w:val="0"/>
        <w:widowControl w:val="0"/>
        <w:shd w:val="clear" w:color="auto" w:fill="auto"/>
        <w:tabs>
          <w:tab w:pos="8784"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23 октября 2024 года</w:t>
        <w:tab/>
        <w:t>г. Красноярск</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заместитель руководителя, М.А. Дударева, члены Комиссии — врио начальника отдела, Е.А. Шмыгина, специалист-эксперт, Е.С. Суслина (далее - Комиссия), рассмотрев жалобу общества с ограниченной ответственностью «Южно-уральский центр снабжения» (далее - податель жалобы) на действия заказчика - Краевого государственного бюджетного учреждения здравоохранения «Большеулуйская районная больница» (далее — заказчик), уполномоченного органа - Агентства государственного заказа Красноярского края (далее — уполномоченный орган) при проведении аукциона в электронной форме ЭА-№-17202/24 «Поставка с доставкой медицинского оборудования (электрокардиограф) для нужд КГБУЗ «Большемуртинская РБ» (далее - аукцион) на электронной торговой площадке ООО «РТС-тендер»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Существо жалобы: несоответствие извещения о проведении электронного аукциона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Жалоба была подана в Красноярское УФАС России в срок, установленный частью 2 статьи 105 Закона о контрактной системе, соответствовала требованиям части 4 статьи 105 указанного закона, в связи с чем была принята к рассмотрению по существу.</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адреса подателя жалобы, заказчика, уполномоченного органа, оператора электронной площадки было направлено уведомление (исх. № МД/17047/24 от 18.10.2024) о содержании жалобы с информацией о месте и времени ее рассмотрения (далее — Уведомление).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Заказчику, уполномоченному органу,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До начала заседания Комиссии по рассмотрению жалобы по существу в адрес Красноярского УФАС России от заказчика поступило ходатайство о рассмотрении обращения в отсутствие представителя заказчика. Указанное ходатайство было рассмотрено и удовлетворено.</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заседании Комиссии по рассмотрению жалобы по существу, назначенном Уведомлением к проведению на 23.10.2024 в 16:00, приняли участие представители уполномоченного органа, надлежащим образом подтвердившие свои личности и полномочия.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содержании жалобы указаны следующие доводы:</w:t>
      </w:r>
    </w:p>
    <w:p>
      <w:pPr>
        <w:pStyle w:val="Style13"/>
        <w:keepNext w:val="0"/>
        <w:keepLines w:val="0"/>
        <w:widowControl w:val="0"/>
        <w:numPr>
          <w:ilvl w:val="0"/>
          <w:numId w:val="1"/>
        </w:numPr>
        <w:shd w:val="clear" w:color="auto" w:fill="auto"/>
        <w:tabs>
          <w:tab w:pos="92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 мнению подателя жалобы, заказчик при описании объекта закупки, применив позицию КТРУ 26.60.12.111-00000024, установил дополнительную характеристику в пункте 3.1.7., 7.5. проекта контракта об обеспечении интеграции передачи ЭКГ на Консультационный Центр, функционирующий на базе КГБУЗ «Краевая клиническая больница» на уровне режимов приема, анализа и хранения ЭКГ для программы - «Консультант» - «Миокард». Указанные действия, по мнению подателя жалобы, нарушают требования пункта 1 части 1 статьи 33, пункта 1 части 2 статьи 42, части 6 статьи 23 Закона о контрактной системе, что подтверждается заключением технической экспертизы №16/2024 от 12.08.2024;</w:t>
      </w:r>
    </w:p>
    <w:p>
      <w:pPr>
        <w:pStyle w:val="Style13"/>
        <w:keepNext w:val="0"/>
        <w:keepLines w:val="0"/>
        <w:widowControl w:val="0"/>
        <w:numPr>
          <w:ilvl w:val="0"/>
          <w:numId w:val="1"/>
        </w:numPr>
        <w:shd w:val="clear" w:color="auto" w:fill="auto"/>
        <w:tabs>
          <w:tab w:pos="91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 мнению подателя жалобы, указанное требование влечет ограничение конкуренции, поскольку извещение о проведении электронного аукциона предусматривает закупку товара единственного производителя — электрокардиографа «Миокард — 25» производства ООО «НИМП ЕСН».</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Заказчиком, уполномоченным органом были представлены письменные возражения с приложением подтверждающих документов в отношении доводов жалобы, из которых следует, что извещение о проведении электронного аукциона составлено в соответствии с требованиями Закона о контрактной системе, исходя из фактической потребности заказчика с учетом содержания позиции КТРУ 26.60.12.111-00000024.</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связи с возникшей потребностью у заказчика уполномоченным органом были совершены действия по проведению электронного аукциона с установлением начальной (максимальной) цены контракта в размере 560 000,00 рублей.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В силу пункта 1 части 1 статьи 33 Закона о контрактной системе в описании объекта </w:t>
      </w:r>
      <w:r>
        <w:rPr>
          <w:color w:val="000000"/>
          <w:spacing w:val="0"/>
          <w:w w:val="100"/>
          <w:position w:val="0"/>
          <w:sz w:val="24"/>
          <w:szCs w:val="24"/>
          <w:shd w:val="clear" w:color="auto" w:fill="auto"/>
          <w:lang w:val="ru-RU" w:eastAsia="ru-RU" w:bidi="ru-RU"/>
        </w:rPr>
        <w:t>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пункта 2 части 1 статьи 33 Закона о контрактной системе следует необходимость использования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5 части 1 статьи 42 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3"/>
        <w:keepNext w:val="0"/>
        <w:keepLines w:val="0"/>
        <w:widowControl w:val="0"/>
        <w:numPr>
          <w:ilvl w:val="0"/>
          <w:numId w:val="1"/>
        </w:numPr>
        <w:shd w:val="clear" w:color="auto" w:fill="auto"/>
        <w:tabs>
          <w:tab w:pos="158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объекта закупки;</w:t>
      </w:r>
    </w:p>
    <w:p>
      <w:pPr>
        <w:pStyle w:val="Style13"/>
        <w:keepNext w:val="0"/>
        <w:keepLines w:val="0"/>
        <w:widowControl w:val="0"/>
        <w:numPr>
          <w:ilvl w:val="0"/>
          <w:numId w:val="1"/>
        </w:numPr>
        <w:shd w:val="clear" w:color="auto" w:fill="auto"/>
        <w:tabs>
          <w:tab w:pos="92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Часть 6 статьи 23 Закона о контрактной системе устанавливает,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 Правила формирования формирования КТРУ), а также правила использования указанного каталога (далее — Правила использования КТРУ) устанавливаются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Правила формирования КТРУ и Правила использования КТРУ утверждены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пункта 4 Правил использования КТРУ следует, что заказчики обязаны применять информацию, включенную в позицию каталога в соответствии с подпунктами «б» - «г» и «е» - «з» пункта 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3"/>
        <w:keepNext w:val="0"/>
        <w:keepLines w:val="0"/>
        <w:widowControl w:val="0"/>
        <w:numPr>
          <w:ilvl w:val="0"/>
          <w:numId w:val="1"/>
        </w:numPr>
        <w:shd w:val="clear" w:color="auto" w:fill="auto"/>
        <w:tabs>
          <w:tab w:pos="158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3"/>
        <w:keepNext w:val="0"/>
        <w:keepLines w:val="0"/>
        <w:widowControl w:val="0"/>
        <w:numPr>
          <w:ilvl w:val="0"/>
          <w:numId w:val="1"/>
        </w:numPr>
        <w:shd w:val="clear" w:color="auto" w:fill="auto"/>
        <w:tabs>
          <w:tab w:pos="91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3"/>
        <w:keepNext w:val="0"/>
        <w:keepLines w:val="0"/>
        <w:widowControl w:val="0"/>
        <w:numPr>
          <w:ilvl w:val="0"/>
          <w:numId w:val="1"/>
        </w:numPr>
        <w:shd w:val="clear" w:color="auto" w:fill="auto"/>
        <w:tabs>
          <w:tab w:pos="160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анализа положений извещения о проведении электронного аукциона, сформированных с использованием ЕИС при заполнении экранных форм веб-интерфейса ЕИС (часть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а также при прикреплении электронных документов (часть 2 статьи 42 Закона о контрактной системе, пункт 4 вышеуказанного Положения), Комиссия установила, что заказчиком осуществляется закупка медицинского оборудования (электрокардиограф), соответствующих позиции КТРУ 26.60.12.111-00000024.</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Проанализировав содержание позиции КТРУ 26.60.12.111-00000024, фактическое содержание описания объекта закупки, сформированное при заполнении экранных форм веб</w:t>
        <w:softHyphen/>
        <w:t>интерфейса ЕИС и соответствующего электронного документа, а также сопоставив их содержание между собой, Комиссия установила, что, определив в описании объекта закупки объективно требуемые характеристики и их показатели, заказчик фактически руководствовался требованиями КТРУ 26.60.12.111-00000024, не допустил отступления от них, не использовал иные показатели таких характеристик, отличные от КТРУ 26.60.12.111-00000024. Следовательно, указанные действия совершены во исполнение подпункта «а» пункта 5 Правила использования КТРУ, не вступают в противоречие с требованиями законодательства о контрактной системе в сфере закупок, вопреки утверждению подателя жалобы об обратном.</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результате анализа содержания описания объекта закупки, сформированного при заполнении экранных форм веб-интерфейса ЕИС и соответствующего электронного документа, Комиссия установила отсутствие в его содержании требования заказчика об обеспечении интеграции передачи ЭКГ на Консультационный Центр, функционирующий на базе КГБУЗ «Краевая клиническая больница» на уровне режимов приема, анализа и хранения ЭКГ для программы - «Консультант» - «Миокард».</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Закон о контрактной системе не содержит норм, ограничивающих право заказчика включать в извещение о проведении электронного аукциона требования к объекту закупки, которые являются для него значимыми, равно как и норм, обязывающих заказчика устанавливать в этом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 учетом вышеизложенного, Комиссия пришла к выводу о том, что заказчик вправе включить в извещение о проведении электронного аукциона такие характеристики товара, которые отвечают именно его потребностям, с учетом того обстоятельства, что закупка электрокардиографа осуществляется заказчиком в целях достижения максимального результата при оказании своевременной и качественной медицинской помощи, с соблюдением принципов, закрепленных в статье 41 Конституции Российской Федерации и статье 4 Федерального закона от 21.11.2011 № 323-ФЗ «Об основах здоровья граждан в Российской Федерации», предусматривающих обеспечение прав пациентов в сфере охраны здоровья, приоритет интересов пациента, доступность и качество при оказании медицинской помощи в КГБУЗ «Большемуртинская районная больница»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По смыслу статьи 33 Закона о контрактной системе, характеристики объекта закупки </w:t>
      </w:r>
      <w:r>
        <w:rPr>
          <w:color w:val="000000"/>
          <w:spacing w:val="0"/>
          <w:w w:val="100"/>
          <w:position w:val="0"/>
          <w:sz w:val="24"/>
          <w:szCs w:val="24"/>
          <w:shd w:val="clear" w:color="auto" w:fill="auto"/>
          <w:lang w:val="ru-RU" w:eastAsia="ru-RU" w:bidi="ru-RU"/>
        </w:rPr>
        <w:t>устанавливаются заказчиком исходя из цели заключения государственного контракта и соответствующих, определенных с учетом данных целей, потребностей заказчика. В рассматриваемом случае, в описании объекта закупки извещения о проведении электронного аукциона установлены четкие и конкретные требования к закупаемому электрокардиографу, с учетом потребности заказчика, что не противоречит требованиям действующего законодательства.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Вместе с тем в проекте контракта, являющимся приложением к извещению о проведении электронного аукциона, содержатся следующие условия:</w:t>
      </w:r>
    </w:p>
    <w:p>
      <w:pPr>
        <w:pStyle w:val="Style13"/>
        <w:keepNext w:val="0"/>
        <w:keepLines w:val="0"/>
        <w:widowControl w:val="0"/>
        <w:numPr>
          <w:ilvl w:val="0"/>
          <w:numId w:val="1"/>
        </w:numPr>
        <w:shd w:val="clear" w:color="auto" w:fill="auto"/>
        <w:tabs>
          <w:tab w:pos="946"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пункт 3.1.7. - поставщик обязан обеспечить интеграцию передачи ЭКГ на Консультационный Центр, функционирующий на базе КГБУЗ «Краевая клиническая больница» на уровне режимов приема, анализа и хранения ЭКГ для программы - «Консультант» - «Миокард»;</w:t>
      </w:r>
    </w:p>
    <w:p>
      <w:pPr>
        <w:pStyle w:val="Style13"/>
        <w:keepNext w:val="0"/>
        <w:keepLines w:val="0"/>
        <w:widowControl w:val="0"/>
        <w:numPr>
          <w:ilvl w:val="0"/>
          <w:numId w:val="1"/>
        </w:numPr>
        <w:shd w:val="clear" w:color="auto" w:fill="auto"/>
        <w:tabs>
          <w:tab w:pos="942"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пункт 7.5 -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 интеграции передачи ЭКГ на Консультационный Центр, функционирующий на базе КГБУЗ «Краевая клиническая больница» на уровне режимов приема, анализа и хранения ЭКГ для программы - «Консультант» - «Миокард».</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Податель жалобы считает, что вышеуказанные условия являются характеристикой товара, при этом она не отражена заказчиком в описании объекта закупки, тем самым заказчик при формировании извещения о проведении электронного аукциона допустил противоречие между электронной формой извещения и документами, прилагаемыми к данному извещению (проектом контракта).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Аргумент подателя жалобы о том, что указанное условие проекта контракта является характеристикой закупаемого товара несостоятелен, так как требования пунктов 3.1.7, 7.5 проекта контракта не относится к характеристикам товара, являются условиями исполнения контракта, в частности условием оказания услуг по вводу в эксплуатацию приобретаемого оборудования, наряду с иными условиями по наладке, настройке, регулировке, апробированию, инструментальному контролю соответствия выходных параметров оборудования, предъявляются к исполнителю контракта, не фигурируют в описании объекта закупки.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Указанный вывод Комиссии находит свое подтверждение и в письменных пояснениях заказчика, согласно которым указание на то, что «поставщик обязан обеспечить интеграцию передачи ЭКГ на Консультационный Центр, функционирующий на базе КГБУЗ «Краевая клиническая больница» на уровне режимов приема, анализа и хранения ЭКГ для программы - «Консультант» - «Миокард» является не функциональной или качественной характеристикой товара, а требованиями безопасности эксплуатации одного медицинского изделия с другим (программное обеспечение, выполняющее функции медицинского изделия), которое имеется на балансе заказчика при осуществлении ввода в эксплуатацию закупаемого медицинского оборудования.</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Таким образом, довод подателя жалобы признается необоснованным, исходя из того, что потребность заказчика заключаются в приобретении товара, который был бы готов к использованию персоналом заказчика, в том числе, введен в эксплуатацию, налажен, настроен, отрегулирован, апробирован, интегрирован с сервером баз данных ЭКГ, функционирующим на базе КГБУЗ «Краевая клиническая больница», для анализа передаваемых электрокардиограмм действующим у Функционального заказчика программным обеспечением «Консультант- МИОКАРД», что не является характеристикой товара, а относится к безопасности и возможности эксплуатации медицинского изделия, исходя из потребностей заказчика.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Ссылка подателя жалобы на содержание заключения технической экспертизы №16/2024 от 12.08.2024 отклоняется Комиссией как несостоятельная, поскольку выводы указанного заключения сформированы на основании анализа положений государственного контракта № Д124-23 от 03.07.2024, заключенного по результатам проведения иной электронной процедуры, следовательно, указанные выводы не обладают признаком относимости к действиям заказчика при проведении рассматриваемого электронного аукциона.</w:t>
      </w:r>
    </w:p>
    <w:p>
      <w:pPr>
        <w:pStyle w:val="Style13"/>
        <w:keepNext w:val="0"/>
        <w:keepLines w:val="0"/>
        <w:widowControl w:val="0"/>
        <w:shd w:val="clear" w:color="auto" w:fill="auto"/>
        <w:bidi w:val="0"/>
        <w:spacing w:before="0" w:after="0" w:line="240" w:lineRule="auto"/>
        <w:ind w:left="0" w:right="0" w:firstLine="760"/>
        <w:jc w:val="both"/>
        <w:sectPr>
          <w:footnotePr>
            <w:pos w:val="pageBottom"/>
            <w:numFmt w:val="decimal"/>
            <w:numRestart w:val="continuous"/>
          </w:footnotePr>
          <w:type w:val="continuous"/>
          <w:pgSz w:w="11900" w:h="16840"/>
          <w:pgMar w:top="561" w:right="541" w:bottom="1235" w:left="1105"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В отношении довода подателя жалобы о том, что оспариваемое подателем жалобы</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требование влечет ограничение конкуренции, поскольку извещение о проведении электронного аукциона предусматривает закупку товара единственного производителя — электрокардиографа «Миокард — 25» производства ООО «НИМП ЕСН», Комиссия сообщает следующее.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Положения статьи 6 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(часть 1 статьи 12 Закона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 являются равнозначными и подлежащими соблюдению в равной степени во всех случаях.</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Закона о защите конкуренции.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Выше по тексту настоящего решения Комиссией установлено, что при формировании описания объекта закупки заказчик исходил из требований как КТРУ 26.60.12.111-00000024, так и фактической потребности заказчика, обусловленной получением оборудования, необходимого для достижения максимального результата при оказании своевременной и качественной медицинской помощи.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Также выше по тексту настоящего решения Комиссией установлено, что условие о настройке информационного обмена (прием и передача электрокардиограмм) поставляемого оборудования с сервером баз данных ЭКГ, функционирующим на базе КГБУЗ «Краевая клиническая больница», для анализа передаваемых электрокардиограмм, действующим у Функционального заказчика программным обеспечением «Консультант-МИОКАРД», являются условиями исполнения контракта, в частности условием оказания услуг по вводу в эксплуатацию приобретаемого оборудования, и не является характеристикой товара.</w:t>
      </w:r>
    </w:p>
    <w:p>
      <w:pPr>
        <w:pStyle w:val="Style13"/>
        <w:keepNext w:val="0"/>
        <w:keepLines w:val="0"/>
        <w:widowControl w:val="0"/>
        <w:shd w:val="clear" w:color="auto" w:fill="auto"/>
        <w:bidi w:val="0"/>
        <w:spacing w:before="0" w:after="0" w:line="288" w:lineRule="auto"/>
        <w:ind w:left="0" w:right="0" w:firstLine="760"/>
        <w:jc w:val="both"/>
        <w:sectPr>
          <w:footerReference w:type="default" r:id="rId13"/>
          <w:footnotePr>
            <w:pos w:val="pageBottom"/>
            <w:numFmt w:val="decimal"/>
            <w:numRestart w:val="continuous"/>
          </w:footnotePr>
          <w:pgSz w:w="11900" w:h="16840"/>
          <w:pgMar w:top="1119" w:right="541" w:bottom="583" w:left="1106" w:header="691" w:footer="155" w:gutter="0"/>
          <w:cols w:space="720"/>
          <w:noEndnote/>
          <w:rtlGutter w:val="0"/>
          <w:docGrid w:linePitch="360"/>
        </w:sectPr>
      </w:pPr>
      <w:r>
        <w:rPr>
          <w:color w:val="000000"/>
          <w:spacing w:val="0"/>
          <w:w w:val="100"/>
          <w:position w:val="0"/>
          <w:sz w:val="24"/>
          <w:szCs w:val="24"/>
          <w:shd w:val="clear" w:color="auto" w:fill="auto"/>
          <w:lang w:val="ru-RU" w:eastAsia="ru-RU" w:bidi="ru-RU"/>
        </w:rPr>
        <w:t>Кроме того, относительно указанного в жалобе довода о необоснованном ограничении конкуренции среди потенциальных участников закупки, выраженном в том, что извещение о проведении аукциона предусматривает закупку товара Электрокардиографа Миокард — 25, производимого одним товаропроизводителем ООО «НИМП ЕСН», Комиссия отмечает, что 2024-17959</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подателем жалобы не было представлено доказательств того, что у неограниченного числа участников закупки отсутствует возможность обратиться в адрес дистрибьюторов товаров, например, ООО «НИМП ЕСН», с целью приобретения электрокардиографа, соответствующего описанию объекта закупки, и осуществить его поставку на условиях извещения о проведении электронного аукциона. Также подателем жалобы не представлено в адрес Комиссии доказательств, свидетельствующих о том, что только у дистрибьюторов товаров, например, ООО «НИМП ЕСН» имеется возможность поставки электрокардиографа, соответствующего описанию объекта закупки, для нужд заказчика.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Учитывая изложенное, Комиссия приходит к выводу о том, что заявленные подателем жалобы доводы в рассматриваемой части не находит своего подтверждения.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считает необходимым проинформировать подателя жалобы о том, что в соответствии со статьями 2, 105, 106 Закона о контрактной системе, частью 1 статьи 1, пунктом 1 части 1 статьи 18.1, 23 Федерального закона от 26.07.2006 № 135-ФЗ «О защите конкуренции» (далее - Закон о защите конкуренции), антимонопольный орган не осуществляет рассмотрение обращений (жалоб, заявлений) о нарушении антимонопольного законодательства в порядке главы 6 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случае, если податель жалобы обладает доказательствами свидетельствующими о наличии признаков нарушения Закона о защите конкуренции, обращения (заявления)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 установленными статьей 44 Закона о защите конкуренции.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 15 статьи 99, частью 8 статьи 106 Закона о контрактной системе, Комиссия Красноярского УФАС России решила признать жалобу ООО «Южно-Уральский центр снабжения» необоснованной.</w:t>
      </w:r>
    </w:p>
    <w:p>
      <w:pPr>
        <w:pStyle w:val="Style13"/>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bidi w:val="0"/>
        <w:spacing w:before="0" w:after="24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6197600</wp:posOffset>
                </wp:positionH>
                <wp:positionV relativeFrom="paragraph">
                  <wp:posOffset>12700</wp:posOffset>
                </wp:positionV>
                <wp:extent cx="1005840" cy="560705"/>
                <wp:wrapSquare wrapText="left"/>
                <wp:docPr id="11" name="Shape 11"/>
                <a:graphic xmlns:a="http://schemas.openxmlformats.org/drawingml/2006/main">
                  <a:graphicData uri="http://schemas.microsoft.com/office/word/2010/wordprocessingShape">
                    <wps:wsp>
                      <wps:cNvSpPr txBox="1"/>
                      <wps:spPr>
                        <a:xfrm>
                          <a:ext cx="1005840" cy="560705"/>
                        </a:xfrm>
                        <a:prstGeom prst="rect"/>
                        <a:noFill/>
                      </wps:spPr>
                      <wps:txbx>
                        <w:txbxContent>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М.А. Дударева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Е.А. Шмыгина</w:t>
                            </w:r>
                          </w:p>
                        </w:txbxContent>
                      </wps:txbx>
                      <wps:bodyPr lIns="0" tIns="0" rIns="0" bIns="0">
                        <a:noAutoFit/>
                      </wps:bodyPr>
                    </wps:wsp>
                  </a:graphicData>
                </a:graphic>
              </wp:anchor>
            </w:drawing>
          </mc:Choice>
          <mc:Fallback>
            <w:pict>
              <v:shape id="_x0000_s1037" type="#_x0000_t202" style="position:absolute;margin-left:488.pt;margin-top:1.pt;width:79.200000000000003pt;height:44.149999999999999pt;z-index:-125829372;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М.А. Дударева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Е.А. Шмыгина</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shd w:val="clear" w:color="auto" w:fill="auto"/>
        <w:bidi w:val="0"/>
        <w:spacing w:before="0" w:after="4660" w:line="240" w:lineRule="auto"/>
        <w:ind w:left="0" w:right="0" w:firstLine="0"/>
        <w:jc w:val="right"/>
      </w:pPr>
      <w:r>
        <w:rPr>
          <w:color w:val="000000"/>
          <w:spacing w:val="0"/>
          <w:w w:val="100"/>
          <w:position w:val="0"/>
          <w:sz w:val="24"/>
          <w:szCs w:val="24"/>
          <w:shd w:val="clear" w:color="auto" w:fill="auto"/>
          <w:lang w:val="ru-RU" w:eastAsia="ru-RU" w:bidi="ru-RU"/>
        </w:rPr>
        <w:t>Е.С. Суслина</w:t>
      </w:r>
    </w:p>
    <w:p>
      <w:pPr>
        <w:pStyle w:val="Style8"/>
        <w:keepNext w:val="0"/>
        <w:keepLines w:val="0"/>
        <w:widowControl w:val="0"/>
        <w:shd w:val="clear" w:color="auto" w:fill="auto"/>
        <w:bidi w:val="0"/>
        <w:spacing w:before="0" w:after="240" w:line="240" w:lineRule="auto"/>
        <w:ind w:left="0" w:right="0" w:firstLine="0"/>
        <w:jc w:val="left"/>
        <w:rPr>
          <w:sz w:val="20"/>
          <w:szCs w:val="20"/>
        </w:rPr>
      </w:pPr>
      <w:r>
        <w:rPr>
          <w:b w:val="0"/>
          <w:bCs w:val="0"/>
          <w:color w:val="000000"/>
          <w:spacing w:val="0"/>
          <w:w w:val="100"/>
          <w:position w:val="0"/>
          <w:sz w:val="20"/>
          <w:szCs w:val="20"/>
          <w:shd w:val="clear" w:color="auto" w:fill="auto"/>
          <w:lang w:val="ru-RU" w:eastAsia="ru-RU" w:bidi="ru-RU"/>
        </w:rPr>
        <w:t>Исп.Суслина Е.С. тел.211-01-44</w:t>
      </w:r>
    </w:p>
    <w:sectPr>
      <w:footerReference w:type="default" r:id="rId14"/>
      <w:footnotePr>
        <w:pos w:val="pageBottom"/>
        <w:numFmt w:val="decimal"/>
        <w:numRestart w:val="continuous"/>
      </w:footnotePr>
      <w:pgSz w:w="11900" w:h="16840"/>
      <w:pgMar w:top="1119" w:right="532" w:bottom="1119" w:left="1106" w:header="691"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10016490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2024-17959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950000000000003pt;margin-top:788.7000000000000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2024-17959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2024-17959</w:t>
                          </w:r>
                        </w:p>
                      </w:txbxContent>
                    </wps:txbx>
                    <wps:bodyPr wrap="none" lIns="0" tIns="0" rIns="0" bIns="0">
                      <a:spAutoFit/>
                    </wps:bodyPr>
                  </wps:wsp>
                </a:graphicData>
              </a:graphic>
            </wp:anchor>
          </w:drawing>
        </mc:Choice>
        <mc:Fallback>
          <w:pict>
            <v:shape id="_x0000_s1031"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2024-17959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723265</wp:posOffset>
              </wp:positionH>
              <wp:positionV relativeFrom="page">
                <wp:posOffset>10016490</wp:posOffset>
              </wp:positionV>
              <wp:extent cx="725170" cy="100330"/>
              <wp:wrapNone/>
              <wp:docPr id="13" name="Shape 1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2024-17959</w:t>
                          </w:r>
                        </w:p>
                      </w:txbxContent>
                    </wps:txbx>
                    <wps:bodyPr wrap="none" lIns="0" tIns="0" rIns="0" bIns="0">
                      <a:spAutoFit/>
                    </wps:bodyPr>
                  </wps:wsp>
                </a:graphicData>
              </a:graphic>
            </wp:anchor>
          </w:drawing>
        </mc:Choice>
        <mc:Fallback>
          <w:pict>
            <v:shape id="_x0000_s1039" type="#_x0000_t202" style="position:absolute;margin-left:56.950000000000003pt;margin-top:788.7000000000000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2024-17959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20"/>
      <w:szCs w:val="20"/>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210"/>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color w:val="4360A3"/>
      <w:sz w:val="20"/>
      <w:szCs w:val="20"/>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footer" Target="footer3.xml"/><Relationship Id="rId14" Type="http://schemas.openxmlformats.org/officeDocument/2006/relationships/footer" Target="footer4.xml"/></Relationships>
</file>