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spacing w:lineRule="exact" w:line="1"/>
        <w:rPr>
          <w:sz w:val="2"/>
          <w:szCs w:val="2"/>
        </w:rPr>
      </w:pPr>
      <w:r>
        <w:br w:type="column"/>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«Южно-Уральский центр снабжения» ул. Богачева, д. 12</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Миасс, Челябинская область, 456318</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тГо@уигс8.ш; уигс8-1М@уапдех.ш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КГБУЗ «Сухобузимская РБ»</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Комсомольская, д. 84, с. Сухобузимское, Красноярский край, 663040</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V^р.с^Ьxакир@та^^ш; иг.гЬ663040@таП.ги;</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8исЬсгЬ@таП.ш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наб. Тараса Шевченко, д.23А, сектор В</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25 этаж, г. Москва, 121151</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notePr>
            <w:pos w:val="pageBottom"/>
            <w:numFmt w:val="decimal"/>
            <w:numRestart w:val="continuous"/>
          </w:footnotePr>
          <w:pgSz w:w="11900" w:h="16840"/>
          <w:pgMar w:top="284" w:right="968" w:bottom="1313" w:left="1140" w:header="0" w:footer="3" w:gutter="0"/>
          <w:pgNumType w:start="1"/>
          <w:cols w:num="2" w:space="720" w:equalWidth="0">
            <w:col w:w="4090" w:space="1176"/>
            <w:col w:w="4526"/>
          </w:cols>
          <w:noEndnote/>
          <w:rtlGutter w:val="0"/>
          <w:docGrid w:linePitch="360"/>
        </w:sectPr>
      </w:pPr>
      <w:r>
        <w:rPr>
          <w:color w:val="000000"/>
          <w:spacing w:val="0"/>
          <w:w w:val="100"/>
          <w:position w:val="0"/>
          <w:sz w:val="24"/>
          <w:szCs w:val="24"/>
          <w:shd w:val="clear" w:color="auto" w:fill="auto"/>
          <w:lang w:val="ru-RU" w:eastAsia="ru-RU" w:bidi="ru-RU"/>
        </w:rPr>
        <w:t>Га8@о1с.ги; ко@1Д8-1епдег.ш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2" w:after="1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313"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№024/06/106-3096/2024</w:t>
      </w:r>
    </w:p>
    <w:p>
      <w:pPr>
        <w:pStyle w:val="Style13"/>
        <w:keepNext w:val="0"/>
        <w:keepLines w:val="0"/>
        <w:widowControl w:val="0"/>
        <w:shd w:val="clear" w:color="auto" w:fill="auto"/>
        <w:tabs>
          <w:tab w:pos="8779"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08 октября 2024 года</w:t>
        <w:tab/>
        <w:t>г. Красноярск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начальник отдела, М.А. Грицай, члены Комиссии — заместитель начальника отдела, Е.А. Шмыгина, главный государственный инспектор, Е.М. Хоменко (далее - Комиссия), рассмотрев жалобу ООО «Южно-Уральский центр снабжения» на действия заказчика — Краевого государственного бюджетного учреждения здравоохранения «Сухобузимская районная больница» (далее — заказчик) при проведении аукциона в электронной форме на поставку медицинского оборудования для оснащения ФАПа д.Шошкино (далее - электронный аукцион), размещенного на электронной площадке ООО «РТС-тендер», установила следующее.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адрес Красноярского УФАС России поступила жалоба ООО «Южно-Уральский центр снабжения» (далее - податель жалобы) на действия заказчика при проведении электронного аукциона, размещенного на электронной торговой площадке ООО «РТС-тендер» (далее - оператор электронной площадки), номер извещения 0319200066224000270.</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Существо жалобы: несоответствие извещения о проведении электронного аукциона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связи с чем была принята к рассмотрению по существу.</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адреса подателя жалобы, заказчика, оператора электронной площадки было направлено уведомление (исх. № МД/16033/24 от 03.10.2024) о содержании жалобы с информацией о месте и времени ее рассмотрения (далее — Уведомление).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w:t>
      </w:r>
    </w:p>
    <w:p>
      <w:pPr>
        <w:widowControl w:val="0"/>
        <w:spacing w:line="1" w:lineRule="exact"/>
        <w:sectPr>
          <w:footnotePr>
            <w:pos w:val="pageBottom"/>
            <w:numFmt w:val="decimal"/>
            <w:numRestart w:val="continuous"/>
          </w:footnotePr>
          <w:type w:val="continuous"/>
          <w:pgSz w:w="11900" w:h="16840"/>
          <w:pgMar w:top="284" w:right="541" w:bottom="1313" w:left="1106" w:header="0" w:footer="3" w:gutter="0"/>
          <w:cols w:space="720"/>
          <w:noEndnote/>
          <w:rtlGutter w:val="0"/>
          <w:docGrid w:linePitch="360"/>
        </w:sectPr>
      </w:pPr>
      <w:r>
        <w:drawing>
          <wp:anchor distT="114300" distB="0" distL="0" distR="0" simplePos="0" relativeHeight="125829378" behindDoc="0" locked="0" layoutInCell="1" allowOverlap="1">
            <wp:simplePos x="0" y="0"/>
            <wp:positionH relativeFrom="page">
              <wp:posOffset>717550</wp:posOffset>
            </wp:positionH>
            <wp:positionV relativeFrom="paragraph">
              <wp:posOffset>114300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10"/>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существу.</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До начала заседания Комиссии по рассмотрению жалобы по существу от подателя жалобы, заказчика поступили в адрес Красноярского УФАС России ходатайства о предоставлении возможности участия в рассмотрении жалобы по существу с использованием системы видео</w:t>
        <w:softHyphen/>
        <w:t>конференц-связи.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Рассмотрев вышеуказанные ходатайства по существу, Красноярское УФАС России заблаговременно предоставило подателю жалобы, заказчику возможность участия в указанном заседании Комиссии с использованием системы видео-конференц-связи.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заседании Комиссии по рассмотрению жалобы по существу, назначенном Уведомлением к проведению на 08.10.2024 в 10:00, приняли участие с использованием системы видео-конференц-связи представители заказчика и подателя жалобы, надлежащим образом подтвердившие свои личности и полномочия.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содержании жалобы указаны следующие доводы:</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 мнению подателя жалобы, заказчик при описании объекта закупки, применив позицию КТРУ 26.60.12.111-00000024, установил дополнительную характеристику в пункте 3.1.7 проекта контракта и в пункте 2.2 Приложения № 2 об обеспечении интеграции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 Указанные действия, по мнению подателя жалобы, нарушают требования пункта 1 части 1 статьи 33, пункта 1 части 2 статьи 42, части 6 статьи 23 Закона о контрактной системе, что подтверждается заключением технической экспертизы №16/2024 от 12.08.2024;</w:t>
      </w:r>
    </w:p>
    <w:p>
      <w:pPr>
        <w:pStyle w:val="Style13"/>
        <w:keepNext w:val="0"/>
        <w:keepLines w:val="0"/>
        <w:widowControl w:val="0"/>
        <w:numPr>
          <w:ilvl w:val="0"/>
          <w:numId w:val="1"/>
        </w:numPr>
        <w:shd w:val="clear" w:color="auto" w:fill="auto"/>
        <w:tabs>
          <w:tab w:pos="91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 мнению подателя жалобы, указанное требование влечет ограничение конкуренции, поскольку извещение о проведении электронного аукциона предусматривает закупку товара единственного производителя — электрокардиографа «Миокард — 25» производства ООО «НИМП ЕСН».</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Заказчиком, уполномоченным органом были представлены письменные возражения с приложением подтверждающих документов в отношении доводов жалобы, из которых следует, что извещение о проведении электронного аукциона составлено в соответствии с требованиями Закона о контрактной системе, исходя из фактической потребности заказчика с учетом содержания позиции КТРУ 26.60.12.132-00000036.</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связи с необходимостью получения от КГБУЗ «Краевая клиническая больница» информации относительно установленного заказчиком требования об обеспечении интеграции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 о том, единственное ли данное программное обеспечение «Миокард» имеется у КГБУЗ «Краевая клиническая больница», а также имеется ли у КГБУЗ «Краевая клиническая больница» программное обеспечение иных производителей электрокардиографов, в том числе программное обеспечение «Валента», Комиссия объявила перерыв в рассмотрении жалобы до 08.10.2024 до 17 часов 00 минут (время местное).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После окончания объявленного перерыва, в заседании Комиссии с использованием системы видео-конференц-связи приняли участие представители заказчика и податель жалобы.</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 моменту проведения заседания Комиссии по рассмотрению жалобы по существу от заказчика поступили дополнительные письменные пояснения по доводам, изложенным в жалобе.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Также к моменту проведения указанного заседания Комиссии КГБУЗ «Краевая клиническая больница» была представлена информация (исх. № 27.3/18.3-15/2050 от 08.10.2024) на основании запроса Красноярского УФАС России (исх. № МД/16323/24 от 08.10.2024).</w:t>
      </w:r>
    </w:p>
    <w:p>
      <w:pPr>
        <w:pStyle w:val="Style13"/>
        <w:keepNext w:val="0"/>
        <w:keepLines w:val="0"/>
        <w:widowControl w:val="0"/>
        <w:shd w:val="clear" w:color="auto" w:fill="auto"/>
        <w:bidi w:val="0"/>
        <w:spacing w:before="0" w:after="0" w:line="271" w:lineRule="auto"/>
        <w:ind w:left="0" w:right="0" w:firstLine="740"/>
        <w:jc w:val="both"/>
        <w:sectPr>
          <w:footerReference w:type="default" r:id="rId12"/>
          <w:footnotePr>
            <w:pos w:val="pageBottom"/>
            <w:numFmt w:val="decimal"/>
            <w:numRestart w:val="continuous"/>
          </w:footnotePr>
          <w:pgSz w:w="11900" w:h="16840"/>
          <w:pgMar w:top="1119" w:right="541" w:bottom="602" w:left="1106" w:header="691" w:footer="174" w:gutter="0"/>
          <w:cols w:space="720"/>
          <w:noEndnote/>
          <w:rtlGutter w:val="0"/>
          <w:docGrid w:linePitch="360"/>
        </w:sectPr>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2024-17193</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связи с возникшей потребностью заказчиком были совершены действия по проведению электронного аукциона с установлением начальной (максимальной) цены контракта в размере 325 000,00 рублей.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пункта 2 части 1 статьи 33 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5 части 1 статьи 42 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3"/>
        <w:keepNext w:val="0"/>
        <w:keepLines w:val="0"/>
        <w:widowControl w:val="0"/>
        <w:numPr>
          <w:ilvl w:val="0"/>
          <w:numId w:val="1"/>
        </w:numPr>
        <w:shd w:val="clear" w:color="auto" w:fill="auto"/>
        <w:tabs>
          <w:tab w:pos="158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объекта закупки;</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Часть 6 статьи 23 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Правила формирования формирования КТРУ), а также правила использования указанного каталога (далее — Правила использования КТРУ)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Правила формирования КТРУ и Правила использования КТРУ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 пункта 4 Правил использования КТРУ следует, что заказчики обязаны применять информацию, включенную в позицию каталога в соответствии с подпунктами «б» - «г» и «е» - «з» пункта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1"/>
        </w:numPr>
        <w:shd w:val="clear" w:color="auto" w:fill="auto"/>
        <w:tabs>
          <w:tab w:pos="160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3"/>
        <w:keepNext w:val="0"/>
        <w:keepLines w:val="0"/>
        <w:widowControl w:val="0"/>
        <w:numPr>
          <w:ilvl w:val="0"/>
          <w:numId w:val="1"/>
        </w:numPr>
        <w:shd w:val="clear" w:color="auto" w:fill="auto"/>
        <w:tabs>
          <w:tab w:pos="91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1"/>
        </w:numPr>
        <w:shd w:val="clear" w:color="auto" w:fill="auto"/>
        <w:tabs>
          <w:tab w:pos="160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медицинского оборудования (электрокардиограф), соответствующих позиции КТРУ 26.60.12.111-00000024.</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Проанализировав содержание позиции КТРУ 26.60.12.111-00000024, фактическое содержание описания объекта закупки, сформированное при заполнении экранных форм веб</w:t>
        <w:softHyphen/>
        <w:t>интерфейса ЕИС и соответствующего электронного документа, а также сопоставив их содержание между собой, Комиссия установила, что, определив в описании объекта закупки объективно требуемые характеристики и их показатели, заказчик фактически руководствовался требованиями КТРУ 26.60.12.111-00000024, не допустил отступления от них, не использовал иные показатели таких характеристик, отличные от КТРУ 26.60.12.111-00000024. Следовательно, указанные действия совершены во исполнение подпункта «а» пункта 5 Правила использования КТРУ, не вступают в противоречие с требованиями законодательства о контрактной системе в сфере закупок, вопреки утверждению подателя жалобы об обратном.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результате анализа содержания описания объекта закупки, сформированного при заполнении экранных форм веб-интерфейса ЕИС и соответствующего электронного документа, Комиссия установила отсутствие в его содержании требования заказчика об обеспечении интеграции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этом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 учетом вышеизложенного, Комиссия пришла к выводу о том, что заказчик вправе включить в извещение о проведении электронного аукциона такие характеристики товара, которые отвечают именно его потребностям, с учетом того обстоятельства, что закупка электрокардиографа осуществляется заказчиком в целях достижения максимального результата при оказании </w:t>
      </w:r>
      <w:r>
        <w:rPr>
          <w:color w:val="000000"/>
          <w:spacing w:val="0"/>
          <w:w w:val="100"/>
          <w:position w:val="0"/>
          <w:sz w:val="24"/>
          <w:szCs w:val="24"/>
          <w:shd w:val="clear" w:color="auto" w:fill="auto"/>
          <w:lang w:val="ru-RU" w:eastAsia="ru-RU" w:bidi="ru-RU"/>
        </w:rPr>
        <w:t>своевременной и качественной медицинской помощи, с соблюдением принципов, закрепленных в статье 41 Конституции Российской Федерации и статье 4 Федерального закона от 21.11.2011 № 323-ФЗ «Об основах здоровья граждан в Российской Федерации», предусматривающих обеспечение прав пациентов в сфере охраны здоровья, приоритет интересов пациента, доступность и качество при оказании медицинской помощи в ФАПе д.Шошкино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 смыслу статьи 33 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извещения о проведении электронного аукциона установлены четкие и конкретные требования к закупаемому электрокардиографу, с учетом потребности заказчика, что не противоречит требованиям действующего законодательства.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Вместе с тем в проекте контракта, являющимся приложением к извещению о проведении электронного аукциона, содержатся следующие условия:</w:t>
      </w:r>
    </w:p>
    <w:p>
      <w:pPr>
        <w:pStyle w:val="Style13"/>
        <w:keepNext w:val="0"/>
        <w:keepLines w:val="0"/>
        <w:widowControl w:val="0"/>
        <w:numPr>
          <w:ilvl w:val="0"/>
          <w:numId w:val="1"/>
        </w:numPr>
        <w:shd w:val="clear" w:color="auto" w:fill="auto"/>
        <w:tabs>
          <w:tab w:pos="942"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 3.1.7. - поставщик обязан обеспечить пусконаладку Оборудования в части настройки информационного обмена (прием и передача электрокардиограмм) поставляемого Оборудования с сервером баз данных ЭКГ, функционирующим на базе КГБУЗ «Краевая клиническая больница», для анализа передаваемых электрокардиограмм действующим у Функционального заказчика программным обеспечением «Консультант-МИОКАРД»;</w:t>
      </w:r>
    </w:p>
    <w:p>
      <w:pPr>
        <w:pStyle w:val="Style13"/>
        <w:keepNext w:val="0"/>
        <w:keepLines w:val="0"/>
        <w:widowControl w:val="0"/>
        <w:numPr>
          <w:ilvl w:val="0"/>
          <w:numId w:val="1"/>
        </w:numPr>
        <w:shd w:val="clear" w:color="auto" w:fill="auto"/>
        <w:tabs>
          <w:tab w:pos="946"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 7.5 -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 настройке информационного обмена (прием и передача электрокардиограмм) поставляемого Товара с сервером баз данных ЭКГ, функционирующим на базе КГБУЗ «Краевая клиническая больница», для анализа передаваемых электрокардиограмм действующим у Функционального заказчика программным обеспечением «Консультант-МИОКАРД» в соответствии с пунктом 8 раздела 3, пунктом 5.1 раздела 5 Технических требований (приложение № 2 к контракту).</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Податель жалобы считает, что вышеуказанные условия являются характеристикой товара, при этом она не отражена заказчиком в описании объекта закупки, тем самым заказчик при формировании извещения о проведении электронного аукциона допустил противоречие между электронной формой извещения и документами, прилагаемыми к данному извещению (проектом контракта).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Аргумент подателя жалобы о том, что указанное условие проекта контракта является характеристикой закупаемого товара несостоятелен, так как требования пунктов 3.1.7, 7.5 проекта контракта, приложения № 2 к нему не относится к характеристикам товара, являются условиями исполнения контракта, в частности условием оказания услуг по вводу в эксплуатацию приобретаемого оборудования, наряду с иными условиями по наладке, настройке, регулировке, апробированию, инструментальному контролю соответствия выходных параметров оборудования, предъявляются к исполнителю контракта, не фигурируют в описании объекта закупки.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Указанный вывод Комиссии находит свое подтверждение и в письменных пояснениях заказчика, согласно которым указание на настройку информационного обмена (прием и передача электрокардиограмм) поставляемого оборудования с сервером баз данных ЭКГ, функционирующим на базе КГБУЗ «Краевая клиническая больница», для анализа передаваемых электрокардиограмм действующим у функционального заказчика программным обеспечением «Консультант-МИОКАРД», не является дополнительным потребительским свойством, в том числе функциональной, технической, качественной, эксплуатационной характеристикой товара, а направлено на информирование исполнителя о мерах по обеспечению безопасности при вводе в эксплуатацию и при непосредственной эксплуатации приобретаемого медицинского изделия, направлен на охрану здоровья граждан.</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Таким образом, довод подателя жалобы признается необоснованным, исходя из того, что </w:t>
      </w:r>
      <w:r>
        <w:rPr>
          <w:color w:val="000000"/>
          <w:spacing w:val="0"/>
          <w:w w:val="100"/>
          <w:position w:val="0"/>
          <w:sz w:val="24"/>
          <w:szCs w:val="24"/>
          <w:shd w:val="clear" w:color="auto" w:fill="auto"/>
          <w:lang w:val="ru-RU" w:eastAsia="ru-RU" w:bidi="ru-RU"/>
        </w:rPr>
        <w:t>потребность заказчика заключаются в приобретении товара, который был бы готов к использованию персоналом заказчика, в том числе, введен в эксплуатацию, налажен, настроен, отрегулирован, апробирован, интегрирован с сервером баз данных ЭКГ, функционирующим на базе КГБУЗ «Краевая клиническая больница», для анализа передаваемых электрокардиограмм действующим у Функционального заказчика программным обеспечением «Консультант- МИОКАРД» , что не является характеристикой товара, а относится к безопасности и возможности эксплуатации медицинского изделия, исходя из потребностей заказчика и направлен на охрану здоровья граждан.</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Ссылка подателя жалобы на содержание заключения технической экспертизы №16/2024 от 12.08.2024 отклоняется Комиссией как несостоятельная, поскольку выводы указанного заключения сформированы на основании анализа положений государственного контракта № Д124-23 от 03.07.2024, заключенного по результатам проведения иной электронной процедуры, следовательно, указанные выводы не обладают признаком относимости к действиям заказчика при проведении рассматриваемого электронного аукциона.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отношении довода подателя жалобы о том, что оспариваемое подателем жалобы требование влечет ограничение конкуренции, поскольку извещение о проведении электронного аукциона предусматривает закупку товара единственного производителя — электрокардиографа «Миокард — 25» производства ООО «НИМП ЕСН», Комиссия сообщает следующее.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Положения статьи 6 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1 статьи 12 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Выше по тексту настоящего решения Комиссией установлено, что при формировании </w:t>
      </w:r>
      <w:r>
        <w:rPr>
          <w:color w:val="000000"/>
          <w:spacing w:val="0"/>
          <w:w w:val="100"/>
          <w:position w:val="0"/>
          <w:sz w:val="24"/>
          <w:szCs w:val="24"/>
          <w:shd w:val="clear" w:color="auto" w:fill="auto"/>
          <w:lang w:val="ru-RU" w:eastAsia="ru-RU" w:bidi="ru-RU"/>
        </w:rPr>
        <w:t>описания объекта закупки заказчик исходил из требований как КТРУ 26.60.12.111-00000024, так и фактической потребности заказчика, обусловленной получением оборудования, необходимого для достижения максимального результата при оказании своевременной и качественной медицинской помощи.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Также выше по тексту настоящего решения Комиссией установлено, что условие о настройке информационного обмена (прием и передача электрокардиограмм) поставляемого оборудования с сервером баз данных ЭКГ, функционирующим на базе КГБУЗ «Краевая клиническая больница», для анализа передаваемых электрокардиограмм действующим у Функционального заказчика программным обеспечением «Консультант-МИОКАРД», являются условиями исполнения контракта, в частности условием оказания услуг по вводу в эксплуатацию приобретаемого оборудования, и не является характеристикой товара.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Из документов, представленных заказчиком, следует, что при формировании описания объекта закупки и обосновании начальной (максимальной) цены контракта на поставку ультразвуковых аппаратов заказчик, будучи участником гражданских правоотношений, добросовестно исходил из наличия на момент проведении закупки на рынке предложений о поставке оборудования (различных моделей) не менее чем двух независимых производителей, характеристики которого соответствуют описанию объекта закупки: электрокардиограф 8сЫ11ег САК^ЮVIТ М8-2010, электрокардиограф «Миокард — 25» производства ООО «НИМП ЕСН», электрокардиограф МАС 2000 с принадлежностями производства СЕ МесПеа! 8у81етз 1п1огтайоп ТесЬпо1од^е8, 1пс.</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Доказательств обратного Комиссии представлено не было.</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свою очередь, податель жалобы не представил доказательств того, что у неограниченного числа участников закупки отсутствует возможность обратиться в адрес дистрибьюторов товаров, например, ООО «НИМП ЕСН», с целью приобретения электрокардиографа, соответствующего описанию объекта закупки, и осуществить его поставку на условиях извещения о проведении электронного аукциона. Также подателем жалобы не представлено в адрес Комиссии доказательств, свидетельствующих о том, что только у дистрибьюторов товаров, например, ООО «НИМП ЕСН» имеется возможность поставки электрокардиографа, соответствующего описанию объекта закупки, для нужд заказчика.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Кроме того, в целях объективного и всестороннего рассмотрения доводов жалобы по существу Красноярским УФАС России была направлен запрос в адрес КГБУЗ «Краевая клиническая больница» о представлении информации (исх. № МД/16323/24 от 08.10.2024) относительно установленного заказчиком требования об обеспечении интеграции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 о том, единственное ли данное программное обеспечение «Миокард» имеется у КГБУЗ «Краевая клиническая больница», а также имеется ли у КГБУЗ «Краевая клиническая больница» программное обеспечение иных производителей электрокардиографов, в том числе программное обеспечение «Валента».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адрес Красноярского УФАС России от КГБУЗ «Краевая клиническая больница» поступила информация (исх. № 27.3/18.3-15/2050 от 08.10.2024) о том, что дистанционный центр ЭКГ-консультирования, функционирующий на базе КГБУЗ «Краевая клиническая больница», в 2020 году был оснащен комплексом аппаратно-программного анализа электрокардиограмм «МИОКАРД-12» для удаленного анализа и описания стандартных и суточных электрокардиограмм, что существенно улучшило оказание медицинской помощи населению Красноярского края. В настоящее время на базе КГБУЗ «Краевая клиническая больница» развернут сервер, к которому подключаются вновь приобретаемые и уже работающие электрокардиографы.</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основании анализа совокупности информации, представленной КГБУЗ «Краевая клиническая больница» в письме (исх. № 27.3/18.3-15/2050 от 08.10.2024), Комиссия установила, что КГБУЗ «Краевая клиническая больница» не подтверждает наличие у учреждения программное обеспечения иных производителей электрокардиографов.</w:t>
      </w:r>
      <w:r>
        <w:br w:type="page"/>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Учитывая изложенное, Комиссия приходит к выводу о том, что заявленные подателем жалобы доводы в рассматриваемой части не находит своего подтверждения в ходе рассмотрения жалобы Комиссией по существу.</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считает необходимым проинформировать подателя жалобы о том, что в соответствии со статьями 2, 105, 106 Закона о контрактной системе, частью 1 статьи 1, пунктом 1 части 1 статьи 18.1, 23 Федерального закона от 26.07.2006 № 135-ФЗ «О защите конкуренции» (далее - Закон о защите конкуренции), антимонопольный орган не осуществляет рассмотрение обращений (жалоб, заявлений) о нарушении антимонопольного законодательства в порядке главы 6 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случае, если податель жалобы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44 Закона о защите конкуренции.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 решила признать жалобу ООО «Южно-Уральский центр снабжения» необоснованной.</w:t>
      </w:r>
    </w:p>
    <w:p>
      <w:pPr>
        <w:pStyle w:val="Style13"/>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bidi w:val="0"/>
        <w:spacing w:before="0" w:after="240" w:line="240" w:lineRule="auto"/>
        <w:ind w:left="0" w:right="0" w:firstLine="740"/>
        <w:jc w:val="both"/>
      </w:pPr>
      <w:r>
        <mc:AlternateContent>
          <mc:Choice Requires="wps">
            <w:drawing>
              <wp:anchor distT="0" distB="0" distL="114300" distR="114300" simplePos="0" relativeHeight="125829379" behindDoc="0" locked="0" layoutInCell="1" allowOverlap="1">
                <wp:simplePos x="0" y="0"/>
                <wp:positionH relativeFrom="page">
                  <wp:posOffset>6196330</wp:posOffset>
                </wp:positionH>
                <wp:positionV relativeFrom="paragraph">
                  <wp:posOffset>12700</wp:posOffset>
                </wp:positionV>
                <wp:extent cx="1005840" cy="563880"/>
                <wp:wrapSquare wrapText="left"/>
                <wp:docPr id="7" name="Shape 7"/>
                <a:graphic xmlns:a="http://schemas.openxmlformats.org/drawingml/2006/main">
                  <a:graphicData uri="http://schemas.microsoft.com/office/word/2010/wordprocessingShape">
                    <wps:wsp>
                      <wps:cNvSpPr txBox="1"/>
                      <wps:spPr>
                        <a:xfrm>
                          <a:ext cx="1005840" cy="563880"/>
                        </a:xfrm>
                        <a:prstGeom prst="rect"/>
                        <a:noFill/>
                      </wps:spPr>
                      <wps:txbx>
                        <w:txbxContent>
                          <w:p>
                            <w:pPr>
                              <w:pStyle w:val="Style13"/>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М.А. Грицай</w:t>
                            </w:r>
                          </w:p>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Е.А. Шмыгина</w:t>
                            </w:r>
                          </w:p>
                        </w:txbxContent>
                      </wps:txbx>
                      <wps:bodyPr lIns="0" tIns="0" rIns="0" bIns="0">
                        <a:noAutoFit/>
                      </wps:bodyPr>
                    </wps:wsp>
                  </a:graphicData>
                </a:graphic>
              </wp:anchor>
            </w:drawing>
          </mc:Choice>
          <mc:Fallback>
            <w:pict>
              <v:shape id="_x0000_s1033" type="#_x0000_t202" style="position:absolute;margin-left:487.90000000000003pt;margin-top:1.pt;width:79.200000000000003pt;height:44.399999999999999pt;z-index:-125829374;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М.А. Грицай</w:t>
                      </w:r>
                    </w:p>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Е.А. Шмыгина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5980" w:line="240" w:lineRule="auto"/>
        <w:ind w:left="0" w:right="0" w:firstLine="0"/>
        <w:jc w:val="right"/>
      </w:pPr>
      <w:r>
        <w:rPr>
          <w:color w:val="000000"/>
          <w:spacing w:val="0"/>
          <w:w w:val="100"/>
          <w:position w:val="0"/>
          <w:sz w:val="24"/>
          <w:szCs w:val="24"/>
          <w:shd w:val="clear" w:color="auto" w:fill="auto"/>
          <w:lang w:val="ru-RU" w:eastAsia="ru-RU" w:bidi="ru-RU"/>
        </w:rPr>
        <w:t>Е.М. Хоменко</w:t>
      </w:r>
    </w:p>
    <w:p>
      <w:pPr>
        <w:pStyle w:val="Style13"/>
        <w:keepNext w:val="0"/>
        <w:keepLines w:val="0"/>
        <w:widowControl w:val="0"/>
        <w:shd w:val="clear" w:color="auto" w:fill="auto"/>
        <w:bidi w:val="0"/>
        <w:spacing w:before="0" w:after="2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Исп.Хоменко Е.М. тел.8(391)2110144</w:t>
      </w:r>
    </w:p>
    <w:sectPr>
      <w:footerReference w:type="default" r:id="rId13"/>
      <w:footnotePr>
        <w:pos w:val="pageBottom"/>
        <w:numFmt w:val="decimal"/>
        <w:numRestart w:val="continuous"/>
      </w:footnotePr>
      <w:pgSz w:w="11900" w:h="16840"/>
      <w:pgMar w:top="1101" w:right="539" w:bottom="1130" w:left="1104" w:header="673"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716280" cy="100330"/>
              <wp:wrapNone/>
              <wp:docPr id="3" name="Shape 3"/>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2024-17193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20000000000005pt;width:56.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2024-17193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10039350</wp:posOffset>
              </wp:positionV>
              <wp:extent cx="716280" cy="100330"/>
              <wp:wrapNone/>
              <wp:docPr id="9" name="Shape 9"/>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2024-17193</w:t>
                          </w:r>
                        </w:p>
                      </w:txbxContent>
                    </wps:txbx>
                    <wps:bodyPr wrap="none" lIns="0" tIns="0" rIns="0" bIns="0">
                      <a:spAutoFit/>
                    </wps:bodyPr>
                  </wps:wsp>
                </a:graphicData>
              </a:graphic>
            </wp:anchor>
          </w:drawing>
        </mc:Choice>
        <mc:Fallback>
          <w:pict>
            <v:shape id="_x0000_s1035" type="#_x0000_t202" style="position:absolute;margin-left:57.pt;margin-top:79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2024-17193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footer" Target="footer2.xml"/><Relationship Id="rId13" Type="http://schemas.openxmlformats.org/officeDocument/2006/relationships/footer" Target="footer3.xml"/></Relationships>
</file>