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7"/>
        <w:keepNext w:val="0"/>
        <w:keepLines w:val="0"/>
        <w:widowControl w:val="0"/>
        <w:shd w:val="clear" w:color="auto" w:fill="auto"/>
        <w:bidi w:val="0"/>
        <w:spacing w:before="0" w:after="0" w:line="254" w:lineRule="auto"/>
        <w:ind w:left="0" w:right="0" w:firstLine="0"/>
        <w:jc w:val="center"/>
        <w:rPr>
          <w:sz w:val="19"/>
          <w:szCs w:val="19"/>
        </w:rPr>
      </w:pPr>
      <w:r>
        <w:rPr>
          <w:b/>
          <w:bCs/>
          <w:color w:val="46619B"/>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line="283"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680000, г. Хабаровск, ул. Запарина, 67</w:t>
        <w:br/>
        <w:t xml:space="preserve">тел. </w:t>
      </w:r>
      <w:r>
        <w:rPr>
          <w:b w:val="0"/>
          <w:bCs w:val="0"/>
          <w:color w:val="737A8A"/>
          <w:spacing w:val="0"/>
          <w:w w:val="100"/>
          <w:position w:val="0"/>
          <w:sz w:val="16"/>
          <w:szCs w:val="16"/>
          <w:shd w:val="clear" w:color="auto" w:fill="auto"/>
          <w:lang w:val="ru-RU" w:eastAsia="ru-RU" w:bidi="ru-RU"/>
        </w:rPr>
        <w:t xml:space="preserve">/ </w:t>
      </w:r>
      <w:r>
        <w:rPr>
          <w:b w:val="0"/>
          <w:bCs w:val="0"/>
          <w:spacing w:val="0"/>
          <w:w w:val="100"/>
          <w:position w:val="0"/>
          <w:sz w:val="16"/>
          <w:szCs w:val="16"/>
          <w:shd w:val="clear" w:color="auto" w:fill="auto"/>
          <w:lang w:val="ru-RU" w:eastAsia="ru-RU" w:bidi="ru-RU"/>
        </w:rPr>
        <w:t>факс (4212) 32-40-57</w:t>
      </w:r>
    </w:p>
    <w:p>
      <w:pPr>
        <w:pStyle w:val="Style2"/>
        <w:keepNext w:val="0"/>
        <w:keepLines w:val="0"/>
        <w:widowControl w:val="0"/>
        <w:shd w:val="clear" w:color="auto" w:fill="auto"/>
        <w:bidi w:val="0"/>
        <w:spacing w:before="0" w:after="18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е-таП: 1о27@Га8.§оу.ги</w:t>
      </w:r>
    </w:p>
    <w:p>
      <w:pPr>
        <w:pStyle w:val="Style7"/>
        <w:keepNext w:val="0"/>
        <w:keepLines w:val="0"/>
        <w:widowControl w:val="0"/>
        <w:shd w:val="clear" w:color="auto" w:fill="auto"/>
        <w:tabs>
          <w:tab w:pos="1810" w:val="left"/>
        </w:tabs>
        <w:bidi w:val="0"/>
        <w:spacing w:before="0" w:after="320" w:line="240" w:lineRule="auto"/>
        <w:ind w:left="0" w:right="0" w:firstLine="0"/>
        <w:jc w:val="both"/>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1,10.2024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ЛИ/11447/</w:t>
      </w:r>
      <w:r>
        <w:rPr>
          <w:color w:val="000000"/>
          <w:spacing w:val="0"/>
          <w:w w:val="100"/>
          <w:position w:val="0"/>
          <w:sz w:val="30"/>
          <w:szCs w:val="30"/>
          <w:shd w:val="clear" w:color="auto" w:fill="auto"/>
          <w:lang w:val="ru-RU" w:eastAsia="ru-RU" w:bidi="ru-RU"/>
        </w:rPr>
        <w:t>24</w:t>
      </w:r>
    </w:p>
    <w:p>
      <w:pPr>
        <w:pStyle w:val="Style2"/>
        <w:keepNext w:val="0"/>
        <w:keepLines w:val="0"/>
        <w:widowControl w:val="0"/>
        <w:shd w:val="clear" w:color="auto" w:fill="auto"/>
        <w:bidi w:val="0"/>
        <w:spacing w:before="0" w:after="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ООО «Амур-центр» атиг-сеп1ег@тай. ги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КГБУЗ «Краевая клиническая больница» имени профессора С.И. Сергеева министерства здравоохранения Хабаровского края</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724" w:bottom="1231" w:left="1140" w:header="0" w:footer="3" w:gutter="0"/>
          <w:pgNumType w:start="1"/>
          <w:cols w:num="2" w:space="504"/>
          <w:noEndnote/>
          <w:titlePg/>
          <w:rtlGutter w:val="0"/>
          <w:docGrid w:linePitch="360"/>
        </w:sectPr>
      </w:pPr>
      <w:r>
        <w:rPr>
          <w:color w:val="000000"/>
          <w:spacing w:val="0"/>
          <w:w w:val="100"/>
          <w:position w:val="0"/>
          <w:shd w:val="clear" w:color="auto" w:fill="auto"/>
          <w:lang w:val="ru-RU" w:eastAsia="ru-RU" w:bidi="ru-RU"/>
        </w:rPr>
        <w:t>е&amp;етоVатV@1^81.^и; гезигзккЬ 1 @тай.ги</w:t>
      </w:r>
    </w:p>
    <w:p>
      <w:pPr>
        <w:widowControl w:val="0"/>
        <w:spacing w:before="101" w:after="10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00" w:right="0" w:bottom="1182" w:left="0" w:header="0" w:footer="3" w:gutter="0"/>
          <w:cols w:space="720"/>
          <w:noEndnote/>
          <w:rtlGutter w:val="0"/>
          <w:docGrid w:linePitch="360"/>
        </w:sectPr>
      </w:pPr>
    </w:p>
    <w:p>
      <w:pPr>
        <w:pStyle w:val="Style15"/>
        <w:keepNext w:val="0"/>
        <w:keepLines w:val="0"/>
        <w:widowControl w:val="0"/>
        <w:shd w:val="clear" w:color="auto" w:fill="auto"/>
        <w:bidi w:val="0"/>
        <w:spacing w:before="0" w:after="170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О направлении решения</w:t>
      </w:r>
    </w:p>
    <w:p>
      <w:pPr>
        <w:pStyle w:val="Style28"/>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 №7-1/229</w:t>
      </w:r>
      <w:bookmarkEnd w:id="0"/>
    </w:p>
    <w:p>
      <w:pPr>
        <w:pStyle w:val="Style15"/>
        <w:keepNext w:val="0"/>
        <w:keepLines w:val="0"/>
        <w:widowControl w:val="0"/>
        <w:shd w:val="clear" w:color="auto" w:fill="auto"/>
        <w:tabs>
          <w:tab w:pos="8621" w:val="left"/>
        </w:tabs>
        <w:bidi w:val="0"/>
        <w:spacing w:before="0" w:after="280" w:line="240" w:lineRule="auto"/>
        <w:ind w:left="0" w:right="0" w:firstLine="0"/>
        <w:jc w:val="both"/>
      </w:pPr>
      <w:r>
        <w:rPr>
          <w:color w:val="000000"/>
          <w:spacing w:val="0"/>
          <w:w w:val="100"/>
          <w:position w:val="0"/>
          <w:shd w:val="clear" w:color="auto" w:fill="auto"/>
          <w:lang w:val="ru-RU" w:eastAsia="ru-RU" w:bidi="ru-RU"/>
        </w:rPr>
        <w:t>08.10.2024</w:t>
        <w:tab/>
        <w:t>г. Хабаровск</w:t>
      </w:r>
    </w:p>
    <w:p>
      <w:pPr>
        <w:pStyle w:val="Style15"/>
        <w:keepNext w:val="0"/>
        <w:keepLines w:val="0"/>
        <w:widowControl w:val="0"/>
        <w:shd w:val="clear" w:color="auto" w:fill="auto"/>
        <w:bidi w:val="0"/>
        <w:spacing w:before="0" w:after="34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Хабаровскому краю по контролю закупок в составе:</w:t>
      </w:r>
    </w:p>
    <w:tbl>
      <w:tblPr>
        <w:tblOverlap w:val="never"/>
        <w:jc w:val="center"/>
        <w:tblLayout w:type="fixed"/>
      </w:tblPr>
      <w:tblGrid>
        <w:gridCol w:w="5448"/>
        <w:gridCol w:w="4800"/>
      </w:tblGrid>
      <w:tr>
        <w:trPr>
          <w:trHeight w:val="778" w:hRule="exact"/>
        </w:trPr>
        <w:tc>
          <w:tcPr>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 - Ильченко Л.А.</w:t>
            </w:r>
          </w:p>
        </w:tc>
        <w:tc>
          <w:tcPr>
            <w:tcBorders/>
            <w:shd w:val="clear" w:color="auto" w:fill="auto"/>
            <w:vAlign w:val="top"/>
          </w:tcPr>
          <w:p>
            <w:pPr>
              <w:pStyle w:val="Style7"/>
              <w:keepNext w:val="0"/>
              <w:keepLines w:val="0"/>
              <w:widowControl w:val="0"/>
              <w:shd w:val="clear" w:color="auto" w:fill="auto"/>
              <w:bidi w:val="0"/>
              <w:spacing w:before="0" w:after="0" w:line="240" w:lineRule="auto"/>
              <w:ind w:left="240" w:right="0" w:firstLine="0"/>
              <w:jc w:val="left"/>
            </w:pPr>
            <w:r>
              <w:rPr>
                <w:color w:val="000000"/>
                <w:spacing w:val="0"/>
                <w:w w:val="100"/>
                <w:position w:val="0"/>
                <w:shd w:val="clear" w:color="auto" w:fill="auto"/>
                <w:lang w:val="ru-RU" w:eastAsia="ru-RU" w:bidi="ru-RU"/>
              </w:rPr>
              <w:t>-заместитель руководителя управления;</w:t>
            </w:r>
          </w:p>
        </w:tc>
      </w:tr>
      <w:tr>
        <w:trPr>
          <w:trHeight w:val="658" w:hRule="exact"/>
        </w:trPr>
        <w:tc>
          <w:tcPr>
            <w:tcBorders/>
            <w:shd w:val="clear" w:color="auto" w:fill="auto"/>
            <w:vAlign w:val="center"/>
          </w:tcPr>
          <w:p>
            <w:pPr>
              <w:pStyle w:val="Style7"/>
              <w:keepNext w:val="0"/>
              <w:keepLines w:val="0"/>
              <w:widowControl w:val="0"/>
              <w:shd w:val="clear" w:color="auto" w:fill="auto"/>
              <w:tabs>
                <w:tab w:pos="3168" w:val="left"/>
              </w:tabs>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tab/>
              <w:t>- Михайлова А.А.</w:t>
            </w:r>
          </w:p>
        </w:tc>
        <w:tc>
          <w:tcPr>
            <w:tcBorders/>
            <w:shd w:val="clear" w:color="auto" w:fill="auto"/>
            <w:vAlign w:val="center"/>
          </w:tcPr>
          <w:p>
            <w:pPr>
              <w:pStyle w:val="Style7"/>
              <w:keepNext w:val="0"/>
              <w:keepLines w:val="0"/>
              <w:widowControl w:val="0"/>
              <w:shd w:val="clear" w:color="auto" w:fill="auto"/>
              <w:bidi w:val="0"/>
              <w:spacing w:before="0" w:after="0" w:line="240" w:lineRule="auto"/>
              <w:ind w:left="240" w:right="0" w:firstLine="0"/>
              <w:jc w:val="left"/>
            </w:pPr>
            <w:r>
              <w:rPr>
                <w:color w:val="000000"/>
                <w:spacing w:val="0"/>
                <w:w w:val="100"/>
                <w:position w:val="0"/>
                <w:shd w:val="clear" w:color="auto" w:fill="auto"/>
                <w:lang w:val="ru-RU" w:eastAsia="ru-RU" w:bidi="ru-RU"/>
              </w:rPr>
              <w:t>- начальник отдела контроля закупок;</w:t>
            </w:r>
          </w:p>
        </w:tc>
      </w:tr>
      <w:tr>
        <w:trPr>
          <w:trHeight w:val="917" w:hRule="exact"/>
        </w:trPr>
        <w:tc>
          <w:tcPr>
            <w:tcBorders/>
            <w:shd w:val="clear" w:color="auto" w:fill="auto"/>
            <w:vAlign w:val="center"/>
          </w:tcPr>
          <w:p>
            <w:pPr>
              <w:pStyle w:val="Style7"/>
              <w:keepNext w:val="0"/>
              <w:keepLines w:val="0"/>
              <w:widowControl w:val="0"/>
              <w:shd w:val="clear" w:color="auto" w:fill="auto"/>
              <w:bidi w:val="0"/>
              <w:spacing w:before="0" w:after="0" w:line="240" w:lineRule="auto"/>
              <w:ind w:left="3180" w:right="0" w:firstLine="0"/>
              <w:jc w:val="left"/>
            </w:pPr>
            <w:r>
              <w:rPr>
                <w:color w:val="000000"/>
                <w:spacing w:val="0"/>
                <w:w w:val="100"/>
                <w:position w:val="0"/>
                <w:shd w:val="clear" w:color="auto" w:fill="auto"/>
                <w:lang w:val="ru-RU" w:eastAsia="ru-RU" w:bidi="ru-RU"/>
              </w:rPr>
              <w:t>- Погиба Е.Ю.</w:t>
            </w:r>
          </w:p>
        </w:tc>
        <w:tc>
          <w:tcPr>
            <w:tcBorders/>
            <w:shd w:val="clear" w:color="auto" w:fill="auto"/>
            <w:vAlign w:val="center"/>
          </w:tcPr>
          <w:p>
            <w:pPr>
              <w:pStyle w:val="Style7"/>
              <w:keepNext w:val="0"/>
              <w:keepLines w:val="0"/>
              <w:widowControl w:val="0"/>
              <w:shd w:val="clear" w:color="auto" w:fill="auto"/>
              <w:bidi w:val="0"/>
              <w:spacing w:before="0" w:after="0" w:line="240" w:lineRule="auto"/>
              <w:ind w:left="240" w:right="0" w:firstLine="0"/>
              <w:jc w:val="left"/>
            </w:pPr>
            <w:r>
              <w:rPr>
                <w:color w:val="000000"/>
                <w:spacing w:val="0"/>
                <w:w w:val="100"/>
                <w:position w:val="0"/>
                <w:shd w:val="clear" w:color="auto" w:fill="auto"/>
                <w:lang w:val="ru-RU" w:eastAsia="ru-RU" w:bidi="ru-RU"/>
              </w:rPr>
              <w:t>- главный специалист-эксперт отдела контроля закупок</w:t>
            </w:r>
          </w:p>
        </w:tc>
      </w:tr>
    </w:tbl>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w:t>
      </w:r>
    </w:p>
    <w:p>
      <w:pPr>
        <w:pStyle w:val="Style15"/>
        <w:keepNext w:val="0"/>
        <w:keepLines w:val="0"/>
        <w:widowControl w:val="0"/>
        <w:numPr>
          <w:ilvl w:val="0"/>
          <w:numId w:val="1"/>
        </w:numPr>
        <w:shd w:val="clear" w:color="auto" w:fill="auto"/>
        <w:tabs>
          <w:tab w:pos="98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 заказчика - КГБУЗ «Краевая клиническая больница» имени профессора С.И. Сергеева Министерства здравоохранения Хабаровского края - Ефремова М.В. (по доверенности от 10.05.2024 №03-883),</w:t>
      </w:r>
    </w:p>
    <w:p>
      <w:pPr>
        <w:pStyle w:val="Style15"/>
        <w:keepNext w:val="0"/>
        <w:keepLines w:val="0"/>
        <w:widowControl w:val="0"/>
        <w:numPr>
          <w:ilvl w:val="0"/>
          <w:numId w:val="1"/>
        </w:numPr>
        <w:shd w:val="clear" w:color="auto" w:fill="auto"/>
        <w:tabs>
          <w:tab w:pos="97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 заявителя - ООО «Амур-центр» - Карелина Е.А. (по доверенности от 07.10.2024),</w:t>
      </w:r>
    </w:p>
    <w:p>
      <w:pPr>
        <w:pStyle w:val="Style15"/>
        <w:keepNext w:val="0"/>
        <w:keepLines w:val="0"/>
        <w:widowControl w:val="0"/>
        <w:shd w:val="clear" w:color="auto" w:fill="auto"/>
        <w:bidi w:val="0"/>
        <w:spacing w:before="0" w:after="940" w:line="240" w:lineRule="auto"/>
        <w:ind w:left="0" w:right="0" w:firstLine="740"/>
        <w:jc w:val="both"/>
      </w:pPr>
      <w:r>
        <w:rPr>
          <w:color w:val="000000"/>
          <w:spacing w:val="0"/>
          <w:w w:val="100"/>
          <w:position w:val="0"/>
          <w:shd w:val="clear" w:color="auto" w:fill="auto"/>
          <w:lang w:val="ru-RU" w:eastAsia="ru-RU" w:bidi="ru-RU"/>
        </w:rPr>
        <w:t>рассмотрев жалобу ООО «Амур-центр» и материалы дела №027/06/105- 1462/2024, Комиссия Хабаровского УФАС России</w:t>
      </w:r>
    </w:p>
    <w:p>
      <w:pPr>
        <w:pStyle w:val="Style7"/>
        <w:keepNext w:val="0"/>
        <w:keepLines w:val="0"/>
        <w:widowControl w:val="0"/>
        <w:shd w:val="clear" w:color="auto" w:fill="auto"/>
        <w:bidi w:val="0"/>
        <w:spacing w:before="0" w:after="640" w:line="240" w:lineRule="auto"/>
        <w:ind w:left="0" w:right="0" w:firstLine="0"/>
        <w:jc w:val="left"/>
        <w:rPr>
          <w:sz w:val="32"/>
          <w:szCs w:val="32"/>
        </w:rPr>
      </w:pPr>
      <w:r>
        <w:rPr>
          <w:rFonts w:ascii="Arial" w:eastAsia="Arial" w:hAnsi="Arial" w:cs="Arial"/>
          <w:color w:val="000000"/>
          <w:spacing w:val="0"/>
          <w:w w:val="100"/>
          <w:position w:val="0"/>
          <w:sz w:val="32"/>
          <w:szCs w:val="32"/>
          <w:shd w:val="clear" w:color="auto" w:fill="auto"/>
          <w:lang w:val="ru-RU" w:eastAsia="ru-RU" w:bidi="ru-RU"/>
        </w:rPr>
        <w:t>111111111111111111111111</w:t>
      </w:r>
    </w:p>
    <w:p>
      <w:pPr>
        <w:pStyle w:val="Style1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Управление Федеральной антимонопольной службы по Хабаровскому краю поступила жалоба ООО «Амур-центр» на действия заказчика - КГБУЗ «Краевая клиническая больница» имени профессора С.И. Сергеева Министерства здравоохранения Хабаровского края при осуществлении закупки, осуществляемой в соответствии с частью 12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поставку электрокардиостимулятора имплантируемого двухкамерного, частотно</w:t>
        <w:softHyphen/>
        <w:t>адаптивного (извещение №</w:t>
      </w:r>
      <w:r>
        <w:fldChar w:fldCharType="begin"/>
      </w:r>
      <w:r>
        <w:rPr/>
        <w:instrText> HYPERLINK "https://zakupki.gov.ru/epz/order/notice/ezt20/view/common-info.html?regNumber=0322200001224001525" </w:instrText>
      </w:r>
      <w:r>
        <w:fldChar w:fldCharType="separate"/>
      </w:r>
      <w:r>
        <w:rPr>
          <w:color w:val="000000"/>
          <w:spacing w:val="0"/>
          <w:w w:val="100"/>
          <w:position w:val="0"/>
          <w:shd w:val="clear" w:color="auto" w:fill="auto"/>
          <w:lang w:val="ru-RU" w:eastAsia="ru-RU" w:bidi="ru-RU"/>
        </w:rPr>
        <w:t xml:space="preserve">0322200001224001525 </w:t>
      </w:r>
      <w:r>
        <w:fldChar w:fldCharType="end"/>
      </w:r>
      <w:r>
        <w:rPr>
          <w:color w:val="000000"/>
          <w:spacing w:val="0"/>
          <w:w w:val="100"/>
          <w:position w:val="0"/>
          <w:shd w:val="clear" w:color="auto" w:fill="auto"/>
          <w:lang w:val="ru-RU" w:eastAsia="ru-RU" w:bidi="ru-RU"/>
        </w:rPr>
        <w:t>от 30.09.2024).</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указывает в своей жалобе на составление извещения о проведении вышеуказанной закупки с нарушением законодательства Российской Федерации и иных нормативных правовых актов о контрактной системе в сфере закупок, что противоречит требованиям Закона о контрактной системе, а именно:</w:t>
      </w:r>
    </w:p>
    <w:p>
      <w:pPr>
        <w:pStyle w:val="Style15"/>
        <w:keepNext w:val="0"/>
        <w:keepLines w:val="0"/>
        <w:widowControl w:val="0"/>
        <w:numPr>
          <w:ilvl w:val="0"/>
          <w:numId w:val="3"/>
        </w:numPr>
        <w:shd w:val="clear" w:color="auto" w:fill="auto"/>
        <w:tabs>
          <w:tab w:pos="121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сформировано извещение об осуществлении закупки с использованием КТРУ, которое не содержит описание товара;</w:t>
      </w:r>
    </w:p>
    <w:p>
      <w:pPr>
        <w:pStyle w:val="Style15"/>
        <w:keepNext w:val="0"/>
        <w:keepLines w:val="0"/>
        <w:widowControl w:val="0"/>
        <w:numPr>
          <w:ilvl w:val="0"/>
          <w:numId w:val="3"/>
        </w:numPr>
        <w:shd w:val="clear" w:color="auto" w:fill="auto"/>
        <w:tabs>
          <w:tab w:pos="195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медицинские изделия неправомерно объедены в один лот;</w:t>
      </w:r>
    </w:p>
    <w:p>
      <w:pPr>
        <w:pStyle w:val="Style15"/>
        <w:keepNext w:val="0"/>
        <w:keepLines w:val="0"/>
        <w:widowControl w:val="0"/>
        <w:numPr>
          <w:ilvl w:val="0"/>
          <w:numId w:val="3"/>
        </w:numPr>
        <w:shd w:val="clear" w:color="auto" w:fill="auto"/>
        <w:tabs>
          <w:tab w:pos="121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указании требований к функциональным, техническим, качественным и эксплуатационным характеристикам товара, которым соответствует только один товар.</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статьи 99 Закона о контрактной системе, Хабаровским УФАС России принято решение о проведении внеплановой проверки, по результатам проведения которой установлено следующее.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 №</w:t>
      </w:r>
      <w:r>
        <w:fldChar w:fldCharType="begin"/>
      </w:r>
      <w:r>
        <w:rPr/>
        <w:instrText> HYPERLINK "https://zakupki.gov.ru/epz/order/notice/ezt20/view/common-info.html?regNumber=0322200001224001525" </w:instrText>
      </w:r>
      <w:r>
        <w:fldChar w:fldCharType="separate"/>
      </w:r>
      <w:r>
        <w:rPr>
          <w:color w:val="000000"/>
          <w:spacing w:val="0"/>
          <w:w w:val="100"/>
          <w:position w:val="0"/>
          <w:shd w:val="clear" w:color="auto" w:fill="auto"/>
          <w:lang w:val="ru-RU" w:eastAsia="ru-RU" w:bidi="ru-RU"/>
        </w:rPr>
        <w:t xml:space="preserve">0322200001224001525 </w:t>
      </w:r>
      <w:r>
        <w:fldChar w:fldCharType="end"/>
      </w:r>
      <w:r>
        <w:rPr>
          <w:color w:val="000000"/>
          <w:spacing w:val="0"/>
          <w:w w:val="100"/>
          <w:position w:val="0"/>
          <w:shd w:val="clear" w:color="auto" w:fill="auto"/>
          <w:lang w:val="ru-RU" w:eastAsia="ru-RU" w:bidi="ru-RU"/>
        </w:rPr>
        <w:t>о проведении закупки, осуществляемой в соответствии с частью 12 статьи 93 Закона о контрактной системе размещено на официальном сайте единой информационной системы в сфере закупок 30.09.2024.</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Объект закупки: поставка электрокардиостимулятора имплантируемого двухкамерного, частотно-адаптивного.</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составляет 3 641 100,00 рублей.</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протоколом подведения итогов от 01.10.2024 на участие в данной закупке подана одна заявка: 1) заявка №117366643 с ценой предложения - цена за единицу товара - 100 000,00 руб.; общая сумма - 3 000 000,00.</w:t>
      </w:r>
    </w:p>
    <w:p>
      <w:pPr>
        <w:pStyle w:val="Style15"/>
        <w:keepNext w:val="0"/>
        <w:keepLines w:val="0"/>
        <w:widowControl w:val="0"/>
        <w:shd w:val="clear" w:color="auto" w:fill="auto"/>
        <w:tabs>
          <w:tab w:pos="3139" w:val="left"/>
          <w:tab w:pos="597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Заявка №117366643 отклонена заказчиком на следующем основании: выявление недостоверной информации, содержащейся в заявке на участие в закупке (Отклонение по п. 8 ч. 12 ст. 48 Закона о контрактной системе), а именно участником закупки в заявке указан товарный знак «Электрокардиостимулятор имплантируемый типа 1)1)1Ж \'ПК8ЛК ОК», однако на официальном сайте «Федеральная служба по интеллектуальной</w:t>
        <w:tab/>
        <w:t>собственности»</w:t>
        <w:tab/>
        <w:t>(Ъ11р^:го^ра1е1П.до\лч1Т11^еагс11?1ад^</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%5В0%5^=^ОVатуе-7пак^) товарный знак «Электрокардиостимулятор имплантируемый типа ^^^К \'ПК8ЛК ОК» не зарегистрирован.</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связи с тем, что заказчиком принято решение об отклонении всех заявок на участие в закупке, осуществляемой в соответствии с частью 12 статьи 93 Закона о контрактной системе, закупка, осуществляемая в соответствии с частью 12 статьи 93 Закона о контрактной системе, признана несостоявшейся.</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ходе проведения внеплановой проверки заказчиком представлен мотивированный отзыв, в соответствии с которым полагает доводы жалобы </w:t>
      </w:r>
      <w:r>
        <w:rPr>
          <w:color w:val="000000"/>
          <w:spacing w:val="0"/>
          <w:w w:val="100"/>
          <w:position w:val="0"/>
          <w:shd w:val="clear" w:color="auto" w:fill="auto"/>
          <w:lang w:val="ru-RU" w:eastAsia="ru-RU" w:bidi="ru-RU"/>
        </w:rPr>
        <w:t>необоснованными в полном объеме.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материалы дела №027/06/105-1462/2024, исходя из конкретных обстоятельств настоящего дела, Комиссия Хабаровского УФАС России пришла к следующим выводам.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 1 ст. 1 Закона о контрактной системе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6 Закона о контрактной системы).</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 1 ст. 12 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5"/>
        <w:keepNext w:val="0"/>
        <w:keepLines w:val="0"/>
        <w:widowControl w:val="0"/>
        <w:numPr>
          <w:ilvl w:val="0"/>
          <w:numId w:val="5"/>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Частью 1 ст. 93 Закона о контрактной системе перечислены случаи, когда Заказчиком может осуществляться закупка у единственного поставщика.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3 ч. 12 ст. 93 Закона о контрактной системе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(далее в настоящей части также - товар). Годовой объем закупок, осуществляемых в таком порядке, не должен превышать сто миллионов рублей. Закупка товара в соответствии с настоящей частью осуществляется в следующем порядке: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заказчик формирует с использованием единой информационной системы, </w:t>
      </w:r>
      <w:r>
        <w:rPr>
          <w:color w:val="000000"/>
          <w:spacing w:val="0"/>
          <w:w w:val="100"/>
          <w:position w:val="0"/>
          <w:shd w:val="clear" w:color="auto" w:fill="auto"/>
          <w:lang w:val="ru-RU" w:eastAsia="ru-RU" w:bidi="ru-RU"/>
        </w:rPr>
        <w:t>подписывает усиленной электронной подписью и размещает в единой информационной системе извещение об осуществлении закупки, содержащее:</w:t>
      </w:r>
    </w:p>
    <w:p>
      <w:pPr>
        <w:pStyle w:val="Style15"/>
        <w:keepNext w:val="0"/>
        <w:keepLines w:val="0"/>
        <w:widowControl w:val="0"/>
        <w:numPr>
          <w:ilvl w:val="0"/>
          <w:numId w:val="7"/>
        </w:numPr>
        <w:shd w:val="clear" w:color="auto" w:fill="auto"/>
        <w:tabs>
          <w:tab w:pos="104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адрес электронной площадки в информационно-телекоммуникационной сети «Интернет»;</w:t>
      </w:r>
    </w:p>
    <w:p>
      <w:pPr>
        <w:pStyle w:val="Style15"/>
        <w:keepNext w:val="0"/>
        <w:keepLines w:val="0"/>
        <w:widowControl w:val="0"/>
        <w:numPr>
          <w:ilvl w:val="0"/>
          <w:numId w:val="7"/>
        </w:numPr>
        <w:shd w:val="clear" w:color="auto" w:fill="auto"/>
        <w:tabs>
          <w:tab w:pos="106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информацию, указанную в пунктах 1 - 3, 9, 10, 13, 15, 17, 18 и 24 части 1 статьи 42 настоящего Федерального закона;</w:t>
      </w:r>
    </w:p>
    <w:p>
      <w:pPr>
        <w:pStyle w:val="Style15"/>
        <w:keepNext w:val="0"/>
        <w:keepLines w:val="0"/>
        <w:widowControl w:val="0"/>
        <w:numPr>
          <w:ilvl w:val="0"/>
          <w:numId w:val="7"/>
        </w:numPr>
        <w:shd w:val="clear" w:color="auto" w:fill="auto"/>
        <w:tabs>
          <w:tab w:pos="106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Предусмотренный настоящим подпунктом срок поставки товара исчисляется календарными днями и указывается в извещении об осуществлении закупки в календарных днях;</w:t>
      </w:r>
    </w:p>
    <w:p>
      <w:pPr>
        <w:pStyle w:val="Style15"/>
        <w:keepNext w:val="0"/>
        <w:keepLines w:val="0"/>
        <w:widowControl w:val="0"/>
        <w:numPr>
          <w:ilvl w:val="0"/>
          <w:numId w:val="7"/>
        </w:numPr>
        <w:shd w:val="clear" w:color="auto" w:fill="auto"/>
        <w:tabs>
          <w:tab w:pos="103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информацию о возможности одностороннего отказа от исполнения контракта в соответствии с положениями частей 8 - 23 и 25 статьи 95 настоящего Федерального закона;</w:t>
      </w:r>
    </w:p>
    <w:p>
      <w:pPr>
        <w:pStyle w:val="Style15"/>
        <w:keepNext w:val="0"/>
        <w:keepLines w:val="0"/>
        <w:widowControl w:val="0"/>
        <w:numPr>
          <w:ilvl w:val="0"/>
          <w:numId w:val="7"/>
        </w:numPr>
        <w:shd w:val="clear" w:color="auto" w:fill="auto"/>
        <w:tabs>
          <w:tab w:pos="103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требования, предъявляемые к участникам закупки и предусмотренные частями 1 и 2 статьи 31 настоящего Федерального закона (при наличии);</w:t>
      </w:r>
    </w:p>
    <w:p>
      <w:pPr>
        <w:pStyle w:val="Style15"/>
        <w:keepNext w:val="0"/>
        <w:keepLines w:val="0"/>
        <w:widowControl w:val="0"/>
        <w:numPr>
          <w:ilvl w:val="0"/>
          <w:numId w:val="7"/>
        </w:numPr>
        <w:shd w:val="clear" w:color="auto" w:fill="auto"/>
        <w:tabs>
          <w:tab w:pos="104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требование, устанавливаемое в соответствии с частью 1.1 статьи 31 настоящего Федерального закона (при наличии).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10 Правил формирования в позицию каталога включается следующая информация:</w:t>
      </w:r>
    </w:p>
    <w:p>
      <w:pPr>
        <w:pStyle w:val="Style15"/>
        <w:keepNext w:val="0"/>
        <w:keepLines w:val="0"/>
        <w:widowControl w:val="0"/>
        <w:numPr>
          <w:ilvl w:val="0"/>
          <w:numId w:val="9"/>
        </w:numPr>
        <w:shd w:val="clear" w:color="auto" w:fill="auto"/>
        <w:tabs>
          <w:tab w:pos="105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код позиции каталога, формируемый в соответствии с пунктом 12 настоящих Правил;</w:t>
      </w:r>
    </w:p>
    <w:p>
      <w:pPr>
        <w:pStyle w:val="Style15"/>
        <w:keepNext w:val="0"/>
        <w:keepLines w:val="0"/>
        <w:widowControl w:val="0"/>
        <w:numPr>
          <w:ilvl w:val="0"/>
          <w:numId w:val="9"/>
        </w:numPr>
        <w:shd w:val="clear" w:color="auto" w:fill="auto"/>
        <w:tabs>
          <w:tab w:pos="106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w:t>
      </w:r>
    </w:p>
    <w:p>
      <w:pPr>
        <w:pStyle w:val="Style15"/>
        <w:keepNext w:val="0"/>
        <w:keepLines w:val="0"/>
        <w:widowControl w:val="0"/>
        <w:numPr>
          <w:ilvl w:val="0"/>
          <w:numId w:val="9"/>
        </w:numPr>
        <w:shd w:val="clear" w:color="auto" w:fill="auto"/>
        <w:tabs>
          <w:tab w:pos="105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согласно Общероссийскому классификатору единиц измерения ОК</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015-94 (ОКЕИ) (при наличии);</w:t>
      </w:r>
    </w:p>
    <w:p>
      <w:pPr>
        <w:pStyle w:val="Style15"/>
        <w:keepNext w:val="0"/>
        <w:keepLines w:val="0"/>
        <w:widowControl w:val="0"/>
        <w:numPr>
          <w:ilvl w:val="0"/>
          <w:numId w:val="9"/>
        </w:numPr>
        <w:shd w:val="clear" w:color="auto" w:fill="auto"/>
        <w:tabs>
          <w:tab w:pos="108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информация, содержащая описание товара, работы, услуги, если такое описание сформировано в соответствии с пунктом 13 настоящих Правил;</w:t>
      </w:r>
    </w:p>
    <w:p>
      <w:pPr>
        <w:pStyle w:val="Style15"/>
        <w:keepNext w:val="0"/>
        <w:keepLines w:val="0"/>
        <w:widowControl w:val="0"/>
        <w:numPr>
          <w:ilvl w:val="0"/>
          <w:numId w:val="9"/>
        </w:numPr>
        <w:shd w:val="clear" w:color="auto" w:fill="auto"/>
        <w:tabs>
          <w:tab w:pos="175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справочная информация:</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коды, соответствующие товару, работе, услуге согласно российским и международным системам классификации, каталогизации (при наличии);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информация о типовых условиях контрактов, подлежащих применению при закупке товара, работы, услуги (при наличии);</w:t>
      </w:r>
    </w:p>
    <w:p>
      <w:pPr>
        <w:pStyle w:val="Style15"/>
        <w:keepNext w:val="0"/>
        <w:keepLines w:val="0"/>
        <w:widowControl w:val="0"/>
        <w:numPr>
          <w:ilvl w:val="0"/>
          <w:numId w:val="9"/>
        </w:numPr>
        <w:shd w:val="clear" w:color="auto" w:fill="auto"/>
        <w:tabs>
          <w:tab w:pos="175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дата включения в каталог позиции;</w:t>
      </w:r>
    </w:p>
    <w:p>
      <w:pPr>
        <w:pStyle w:val="Style15"/>
        <w:keepNext w:val="0"/>
        <w:keepLines w:val="0"/>
        <w:widowControl w:val="0"/>
        <w:numPr>
          <w:ilvl w:val="0"/>
          <w:numId w:val="9"/>
        </w:numPr>
        <w:shd w:val="clear" w:color="auto" w:fill="auto"/>
        <w:tabs>
          <w:tab w:pos="116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дата (даты) начала обязательного применения информации, включенной в позицию каталога;</w:t>
      </w:r>
    </w:p>
    <w:p>
      <w:pPr>
        <w:pStyle w:val="Style15"/>
        <w:keepNext w:val="0"/>
        <w:keepLines w:val="0"/>
        <w:widowControl w:val="0"/>
        <w:numPr>
          <w:ilvl w:val="0"/>
          <w:numId w:val="9"/>
        </w:numPr>
        <w:shd w:val="clear" w:color="auto" w:fill="auto"/>
        <w:tabs>
          <w:tab w:pos="175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дата окончания применения позиции каталога (при необходимости);</w:t>
      </w:r>
    </w:p>
    <w:p>
      <w:pPr>
        <w:pStyle w:val="Style15"/>
        <w:keepNext w:val="0"/>
        <w:keepLines w:val="0"/>
        <w:widowControl w:val="0"/>
        <w:numPr>
          <w:ilvl w:val="0"/>
          <w:numId w:val="9"/>
        </w:numPr>
        <w:shd w:val="clear" w:color="auto" w:fill="auto"/>
        <w:tabs>
          <w:tab w:pos="175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дополнительная информация в соответствии с пунктом 19 настоящих Правил.</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13 Правил формирования в описание товара, работы, услуги в соответствии с требованиями статьи 33 Федерального закона «О контрактной системе в сфере закупок товаров, работ, услуг для обеспечения государственных и муниципальных нужд» включается в том числе следующая информация:</w:t>
      </w:r>
    </w:p>
    <w:p>
      <w:pPr>
        <w:pStyle w:val="Style15"/>
        <w:keepNext w:val="0"/>
        <w:keepLines w:val="0"/>
        <w:widowControl w:val="0"/>
        <w:numPr>
          <w:ilvl w:val="0"/>
          <w:numId w:val="11"/>
        </w:numPr>
        <w:shd w:val="clear" w:color="auto" w:fill="auto"/>
        <w:tabs>
          <w:tab w:pos="110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статьей 19 Федерального закона;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статьей 19 Федерального закона;</w:t>
      </w:r>
    </w:p>
    <w:p>
      <w:pPr>
        <w:pStyle w:val="Style15"/>
        <w:keepNext w:val="0"/>
        <w:keepLines w:val="0"/>
        <w:widowControl w:val="0"/>
        <w:numPr>
          <w:ilvl w:val="0"/>
          <w:numId w:val="11"/>
        </w:numPr>
        <w:shd w:val="clear" w:color="auto" w:fill="auto"/>
        <w:tabs>
          <w:tab w:pos="112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информация о распространяющихся на товары, работы, услуги технических регламентах, принятых в соответствии с законодательством Российской Федерации о техническом регулировании (при наличии), документах, разрабатываемых и применяемых в национальной системе стандартизации, принятых в соответствии с законодательством Российской Федерации о стандартизации (при наличии);</w:t>
      </w:r>
    </w:p>
    <w:p>
      <w:pPr>
        <w:pStyle w:val="Style15"/>
        <w:keepNext w:val="0"/>
        <w:keepLines w:val="0"/>
        <w:widowControl w:val="0"/>
        <w:numPr>
          <w:ilvl w:val="0"/>
          <w:numId w:val="11"/>
        </w:numPr>
        <w:shd w:val="clear" w:color="auto" w:fill="auto"/>
        <w:tabs>
          <w:tab w:pos="110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при необходимости спецификации, планы, чертежи, эскизы, фотографии, цифровые модели, результаты работы, тестирования, требования, в том числе в </w:t>
      </w:r>
      <w:r>
        <w:rPr>
          <w:color w:val="000000"/>
          <w:spacing w:val="0"/>
          <w:w w:val="100"/>
          <w:position w:val="0"/>
          <w:shd w:val="clear" w:color="auto" w:fill="auto"/>
          <w:lang w:val="ru-RU" w:eastAsia="ru-RU" w:bidi="ru-RU"/>
        </w:rPr>
        <w:t>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соответствии с письмом Минфина России от 25.08.2020 № 24-06- 05/74463 в зависимости от вида товара, работы или услуги в справочную информацию позиций каталога может включаться информация в соответствии с Общероссийским классификатором продукции по видам экономической деятельности ОК 034-2014 (КПЕС 2008), номенклатурной классификацией медицинских изделий, утвержденной приказом Минздрава России от 06.06.2012 № 4н, классификацией технических средств реабилитации (изделий), утвержденной приказом Минтруда России от 13.02.2018 № 86н. Указанная информация размещается Минфином России в разделе «Справочная информация» вкладки «Общая информация» позиции каталога в ЕИС.</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частности, в справочную информацию позиций каталога по медицинским изделиям включается информация в соответствии с указанной номенклатурной классификацией медицинских изделий: вид медицинского изделия в числовом выражении (код), наименование вида медицинского изделия и классификационные признаки вида медицинского изделия.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Такие классификационные признаки вида медицинского изделия размещаются Минфином России в графе «Описание по классификатору» раздела «Справочная информация» вкладки «Общая информация» позиции каталога в ЕИС. При этом справочная информация (в том числе классификационные признаки вида медицинского изделия) не образует описания товара, работы, услуги в понимании статьи 33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Заказчиком при осуществлении закупки в извещении применен следующий код КТРУ </w:t>
      </w:r>
      <w:r>
        <w:fldChar w:fldCharType="begin"/>
      </w:r>
      <w:r>
        <w:rPr/>
        <w:instrText> HYPERLINK "https://zakupki.gov.ru/epz/ktru/ktruCard/commonInfo.html?itemVersionId=82964" </w:instrText>
      </w:r>
      <w:r>
        <w:fldChar w:fldCharType="separate"/>
      </w:r>
      <w:r>
        <w:rPr>
          <w:color w:val="000000"/>
          <w:spacing w:val="0"/>
          <w:w w:val="100"/>
          <w:position w:val="0"/>
          <w:shd w:val="clear" w:color="auto" w:fill="auto"/>
          <w:lang w:val="ru-RU" w:eastAsia="ru-RU" w:bidi="ru-RU"/>
        </w:rPr>
        <w:t xml:space="preserve">26.60.14.110-00000044 </w:t>
      </w:r>
      <w:r>
        <w:fldChar w:fldCharType="end"/>
      </w:r>
      <w:r>
        <w:rPr>
          <w:color w:val="000000"/>
          <w:spacing w:val="0"/>
          <w:w w:val="100"/>
          <w:position w:val="0"/>
          <w:shd w:val="clear" w:color="auto" w:fill="auto"/>
          <w:lang w:val="ru-RU" w:eastAsia="ru-RU" w:bidi="ru-RU"/>
        </w:rPr>
        <w:t>«Электрокардиостимулятор имплантируемый двухкамерный, частотно-адаптивный». Указанная позиция КТРУ не содержит характеристик товара.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письмом Минфина России от 10.08.2023 № 24-03-06/75075 «О рассмотрении обращения» в случае, если описание объекта закупки, содержащее характеристики товара, не сформировано и не включено в позицию каталога, возможность реализации положений подпункта «в» пункта 3 части 12 статьи 93 Закона о контрактной системе отсутствует, поскольку в этом случае указать в извещении об осуществлении закупки характеристики закупаемого товара с использованием каталога невозможно. В этой связи закупка товара у единственного поставщика в электронной форме на сумму, предусмотренную частью 12 статьи 93 Закона о контрактной системе, осуществляется при наличии в каталоге позиции, содержащей описание объекта закупки, включающее характеристики товара.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Заказчиком не описан объект закупки должным образом, Инспекция Хабаровского УФАС России приходит к выводу о нарушении Заказчиком пп. «в» п. 3 ч. 12 ст. 93 Закона о контрактной системе, что образует состав административного правонарушения предусмотренного ч. 1.4 ст. 7.30 Кодекса Российской Федерации об административных правонарушениях.</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Технической частью «Описание объекта закупки» заказчиком определены функциональные, технические и качественные характеристики, эксплуатационные</w:t>
      </w:r>
      <w:r>
        <w:br w:type="page"/>
      </w:r>
    </w:p>
    <w:p>
      <w:pPr>
        <w:pStyle w:val="Style32"/>
        <w:keepNext w:val="0"/>
        <w:keepLines w:val="0"/>
        <w:widowControl w:val="0"/>
        <w:shd w:val="clear" w:color="auto" w:fill="auto"/>
        <w:bidi w:val="0"/>
        <w:spacing w:before="0" w:after="0" w:line="240" w:lineRule="auto"/>
        <w:ind w:left="197" w:right="0" w:firstLine="0"/>
        <w:jc w:val="left"/>
      </w:pPr>
      <w:r>
        <w:rPr>
          <w:color w:val="000000"/>
          <w:spacing w:val="0"/>
          <w:w w:val="100"/>
          <w:position w:val="0"/>
          <w:shd w:val="clear" w:color="auto" w:fill="auto"/>
          <w:lang w:val="ru-RU" w:eastAsia="ru-RU" w:bidi="ru-RU"/>
        </w:rPr>
        <w:t>характеристики товара, показатели, позволяющие определить соответствие закупаемых товаров установленным требованиям, максимальные и (или) минимальные значения</w:t>
      </w:r>
    </w:p>
    <w:p>
      <w:pPr>
        <w:pStyle w:val="Style32"/>
        <w:keepNext w:val="0"/>
        <w:keepLines w:val="0"/>
        <w:widowControl w:val="0"/>
        <w:shd w:val="clear" w:color="auto" w:fill="auto"/>
        <w:bidi w:val="0"/>
        <w:spacing w:before="0" w:after="0" w:line="240" w:lineRule="auto"/>
        <w:ind w:left="197" w:right="0" w:firstLine="0"/>
        <w:jc w:val="left"/>
      </w:pPr>
      <w:r>
        <w:rPr>
          <w:color w:val="000000"/>
          <w:spacing w:val="0"/>
          <w:w w:val="100"/>
          <w:position w:val="0"/>
          <w:u w:val="single"/>
          <w:shd w:val="clear" w:color="auto" w:fill="auto"/>
          <w:lang w:val="ru-RU" w:eastAsia="ru-RU" w:bidi="ru-RU"/>
        </w:rPr>
        <w:t>таких показателей, а также значения показателей, которые не могут изменяться:</w:t>
      </w:r>
    </w:p>
    <w:tbl>
      <w:tblPr>
        <w:tblOverlap w:val="never"/>
        <w:jc w:val="center"/>
        <w:tblLayout w:type="fixed"/>
      </w:tblPr>
      <w:tblGrid>
        <w:gridCol w:w="821"/>
        <w:gridCol w:w="5107"/>
        <w:gridCol w:w="1982"/>
        <w:gridCol w:w="2530"/>
      </w:tblGrid>
      <w:tr>
        <w:trPr>
          <w:trHeight w:val="850" w:hRule="exact"/>
        </w:trPr>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 п/п</w:t>
            </w:r>
          </w:p>
        </w:tc>
        <w:tc>
          <w:tcPr>
            <w:tcBorders>
              <w:top w:val="single" w:sz="4"/>
              <w:left w:val="single" w:sz="4"/>
            </w:tcBorders>
            <w:shd w:val="clear" w:color="auto" w:fill="auto"/>
            <w:vAlign w:val="center"/>
          </w:tcPr>
          <w:p>
            <w:pPr>
              <w:pStyle w:val="Style7"/>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Наименование товара, его показателей (характеристик), потребительских свойств</w:t>
            </w:r>
          </w:p>
        </w:tc>
        <w:tc>
          <w:tcPr>
            <w:tcBorders>
              <w:top w:val="single" w:sz="4"/>
              <w:left w:val="single" w:sz="4"/>
            </w:tcBorders>
            <w:shd w:val="clear" w:color="auto" w:fill="auto"/>
            <w:vAlign w:val="center"/>
          </w:tcPr>
          <w:p>
            <w:pPr>
              <w:pStyle w:val="Style7"/>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Ед. изм.</w:t>
            </w:r>
          </w:p>
        </w:tc>
        <w:tc>
          <w:tcPr>
            <w:tcBorders>
              <w:top w:val="single" w:sz="4"/>
              <w:left w:val="single" w:sz="4"/>
              <w:right w:val="single" w:sz="4"/>
            </w:tcBorders>
            <w:shd w:val="clear" w:color="auto" w:fill="auto"/>
            <w:vAlign w:val="center"/>
          </w:tcPr>
          <w:p>
            <w:pPr>
              <w:pStyle w:val="Style7"/>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Значение показателя (характеристики)</w:t>
            </w:r>
          </w:p>
        </w:tc>
      </w:tr>
      <w:tr>
        <w:trPr>
          <w:trHeight w:val="768" w:hRule="exact"/>
        </w:trPr>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1</w:t>
            </w:r>
          </w:p>
        </w:tc>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Электрокардиостимулятор имплантируемый двухкамерный, частотно-адаптивный Код позиции КТРУ - 26.60.14.110-00000044</w:t>
            </w:r>
          </w:p>
        </w:tc>
        <w:tc>
          <w:tcPr>
            <w:tcBorders>
              <w:top w:val="single" w:sz="4"/>
              <w:left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top"/>
          </w:tcPr>
          <w:p>
            <w:pPr>
              <w:widowControl w:val="0"/>
              <w:rPr>
                <w:sz w:val="10"/>
                <w:szCs w:val="10"/>
              </w:rPr>
            </w:pPr>
          </w:p>
        </w:tc>
      </w:tr>
      <w:tr>
        <w:trPr>
          <w:trHeight w:val="514" w:hRule="exact"/>
        </w:trPr>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220"/>
              <w:jc w:val="left"/>
              <w:rPr>
                <w:sz w:val="22"/>
                <w:szCs w:val="22"/>
              </w:rPr>
            </w:pPr>
            <w:r>
              <w:rPr>
                <w:color w:val="000000"/>
                <w:spacing w:val="0"/>
                <w:w w:val="100"/>
                <w:position w:val="0"/>
                <w:sz w:val="22"/>
                <w:szCs w:val="22"/>
                <w:shd w:val="clear" w:color="auto" w:fill="auto"/>
                <w:lang w:val="ru-RU" w:eastAsia="ru-RU" w:bidi="ru-RU"/>
              </w:rPr>
              <w:t>1.2</w:t>
            </w:r>
          </w:p>
        </w:tc>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Встроенный кардиограф и принтер в программаторе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r>
      <w:tr>
        <w:trPr>
          <w:trHeight w:val="514" w:hRule="exact"/>
        </w:trPr>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220"/>
              <w:jc w:val="left"/>
              <w:rPr>
                <w:sz w:val="22"/>
                <w:szCs w:val="22"/>
              </w:rPr>
            </w:pPr>
            <w:r>
              <w:rPr>
                <w:color w:val="000000"/>
                <w:spacing w:val="0"/>
                <w:w w:val="100"/>
                <w:position w:val="0"/>
                <w:sz w:val="22"/>
                <w:szCs w:val="22"/>
                <w:shd w:val="clear" w:color="auto" w:fill="auto"/>
                <w:lang w:val="ru-RU" w:eastAsia="ru-RU" w:bidi="ru-RU"/>
              </w:rPr>
              <w:t>1.3</w:t>
            </w:r>
          </w:p>
        </w:tc>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Границы диапазона чувствительности по предсердному каналу минимальное значение</w:t>
            </w:r>
          </w:p>
        </w:tc>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мВ</w:t>
            </w:r>
          </w:p>
        </w:tc>
        <w:tc>
          <w:tcPr>
            <w:tcBorders>
              <w:top w:val="single" w:sz="4"/>
              <w:left w:val="single" w:sz="4"/>
              <w:righ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0,3</w:t>
            </w:r>
          </w:p>
        </w:tc>
      </w:tr>
      <w:tr>
        <w:trPr>
          <w:trHeight w:val="518" w:hRule="exact"/>
        </w:trPr>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220"/>
              <w:jc w:val="left"/>
              <w:rPr>
                <w:sz w:val="22"/>
                <w:szCs w:val="22"/>
              </w:rPr>
            </w:pPr>
            <w:r>
              <w:rPr>
                <w:color w:val="000000"/>
                <w:spacing w:val="0"/>
                <w:w w:val="100"/>
                <w:position w:val="0"/>
                <w:sz w:val="22"/>
                <w:szCs w:val="22"/>
                <w:shd w:val="clear" w:color="auto" w:fill="auto"/>
                <w:lang w:val="ru-RU" w:eastAsia="ru-RU" w:bidi="ru-RU"/>
              </w:rPr>
              <w:t>1.4</w:t>
            </w:r>
          </w:p>
        </w:tc>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Границы диапазона чувствительности по предсердному каналу максимальное значение</w:t>
            </w:r>
          </w:p>
        </w:tc>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мВ</w:t>
            </w:r>
          </w:p>
        </w:tc>
        <w:tc>
          <w:tcPr>
            <w:tcBorders>
              <w:top w:val="single" w:sz="4"/>
              <w:left w:val="single" w:sz="4"/>
              <w:righ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4,0</w:t>
            </w:r>
          </w:p>
        </w:tc>
      </w:tr>
      <w:tr>
        <w:trPr>
          <w:trHeight w:val="518" w:hRule="exact"/>
        </w:trPr>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220"/>
              <w:jc w:val="left"/>
              <w:rPr>
                <w:sz w:val="22"/>
                <w:szCs w:val="22"/>
              </w:rPr>
            </w:pPr>
            <w:r>
              <w:rPr>
                <w:color w:val="000000"/>
                <w:spacing w:val="0"/>
                <w:w w:val="100"/>
                <w:position w:val="0"/>
                <w:sz w:val="22"/>
                <w:szCs w:val="22"/>
                <w:shd w:val="clear" w:color="auto" w:fill="auto"/>
                <w:lang w:val="ru-RU" w:eastAsia="ru-RU" w:bidi="ru-RU"/>
              </w:rPr>
              <w:t>1.5</w:t>
            </w:r>
          </w:p>
        </w:tc>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Границы диапазона чувствительности по желудочковому каналу минимальное значение</w:t>
            </w:r>
          </w:p>
        </w:tc>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мВ</w:t>
            </w:r>
          </w:p>
        </w:tc>
        <w:tc>
          <w:tcPr>
            <w:tcBorders>
              <w:top w:val="single" w:sz="4"/>
              <w:left w:val="single" w:sz="4"/>
              <w:righ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0,5</w:t>
            </w:r>
          </w:p>
        </w:tc>
      </w:tr>
      <w:tr>
        <w:trPr>
          <w:trHeight w:val="518" w:hRule="exact"/>
        </w:trPr>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220"/>
              <w:jc w:val="left"/>
              <w:rPr>
                <w:sz w:val="22"/>
                <w:szCs w:val="22"/>
              </w:rPr>
            </w:pPr>
            <w:r>
              <w:rPr>
                <w:color w:val="000000"/>
                <w:spacing w:val="0"/>
                <w:w w:val="100"/>
                <w:position w:val="0"/>
                <w:sz w:val="22"/>
                <w:szCs w:val="22"/>
                <w:shd w:val="clear" w:color="auto" w:fill="auto"/>
                <w:lang w:val="ru-RU" w:eastAsia="ru-RU" w:bidi="ru-RU"/>
              </w:rPr>
              <w:t>1.6</w:t>
            </w:r>
          </w:p>
        </w:tc>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Границы диапазона чувствительности по желудочковому каналу максимальное значение</w:t>
            </w:r>
          </w:p>
        </w:tc>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мВ</w:t>
            </w:r>
          </w:p>
        </w:tc>
        <w:tc>
          <w:tcPr>
            <w:tcBorders>
              <w:top w:val="single" w:sz="4"/>
              <w:left w:val="single" w:sz="4"/>
              <w:righ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8.0</w:t>
            </w:r>
          </w:p>
        </w:tc>
      </w:tr>
      <w:tr>
        <w:trPr>
          <w:trHeight w:val="514" w:hRule="exact"/>
        </w:trPr>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160"/>
              <w:jc w:val="left"/>
              <w:rPr>
                <w:sz w:val="22"/>
                <w:szCs w:val="22"/>
              </w:rPr>
            </w:pPr>
            <w:r>
              <w:rPr>
                <w:color w:val="000000"/>
                <w:spacing w:val="0"/>
                <w:w w:val="100"/>
                <w:position w:val="0"/>
                <w:sz w:val="22"/>
                <w:szCs w:val="22"/>
                <w:shd w:val="clear" w:color="auto" w:fill="auto"/>
                <w:lang w:val="ru-RU" w:eastAsia="ru-RU" w:bidi="ru-RU"/>
              </w:rPr>
              <w:t>1.7</w:t>
            </w:r>
          </w:p>
        </w:tc>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Режим «Варио»</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r>
      <w:tr>
        <w:trPr>
          <w:trHeight w:val="259" w:hRule="exact"/>
        </w:trPr>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220"/>
              <w:jc w:val="left"/>
              <w:rPr>
                <w:sz w:val="22"/>
                <w:szCs w:val="22"/>
              </w:rPr>
            </w:pPr>
            <w:r>
              <w:rPr>
                <w:color w:val="000000"/>
                <w:spacing w:val="0"/>
                <w:w w:val="100"/>
                <w:position w:val="0"/>
                <w:sz w:val="22"/>
                <w:szCs w:val="22"/>
                <w:shd w:val="clear" w:color="auto" w:fill="auto"/>
                <w:lang w:val="ru-RU" w:eastAsia="ru-RU" w:bidi="ru-RU"/>
              </w:rPr>
              <w:t>1.8</w:t>
            </w:r>
          </w:p>
        </w:tc>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Гистерезис АV задержки с поиском</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r>
      <w:tr>
        <w:trPr>
          <w:trHeight w:val="269" w:hRule="exact"/>
        </w:trPr>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220"/>
              <w:jc w:val="left"/>
              <w:rPr>
                <w:sz w:val="22"/>
                <w:szCs w:val="22"/>
              </w:rPr>
            </w:pPr>
            <w:r>
              <w:rPr>
                <w:color w:val="000000"/>
                <w:spacing w:val="0"/>
                <w:w w:val="100"/>
                <w:position w:val="0"/>
                <w:sz w:val="22"/>
                <w:szCs w:val="22"/>
                <w:shd w:val="clear" w:color="auto" w:fill="auto"/>
                <w:lang w:val="ru-RU" w:eastAsia="ru-RU" w:bidi="ru-RU"/>
              </w:rPr>
              <w:t>1.9</w:t>
            </w:r>
          </w:p>
        </w:tc>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Сглаживание частоты (Маховик)</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r>
      <w:tr>
        <w:trPr>
          <w:trHeight w:val="254" w:hRule="exact"/>
        </w:trPr>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220"/>
              <w:jc w:val="left"/>
              <w:rPr>
                <w:sz w:val="22"/>
                <w:szCs w:val="22"/>
              </w:rPr>
            </w:pPr>
            <w:r>
              <w:rPr>
                <w:color w:val="000000"/>
                <w:spacing w:val="0"/>
                <w:w w:val="100"/>
                <w:position w:val="0"/>
                <w:sz w:val="22"/>
                <w:szCs w:val="22"/>
                <w:shd w:val="clear" w:color="auto" w:fill="auto"/>
                <w:lang w:val="ru-RU" w:eastAsia="ru-RU" w:bidi="ru-RU"/>
              </w:rPr>
              <w:t>1.10</w:t>
            </w:r>
          </w:p>
        </w:tc>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Мониторинг импеданса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r>
      <w:tr>
        <w:trPr>
          <w:trHeight w:val="264" w:hRule="exact"/>
        </w:trPr>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220"/>
              <w:jc w:val="left"/>
              <w:rPr>
                <w:sz w:val="22"/>
                <w:szCs w:val="22"/>
              </w:rPr>
            </w:pPr>
            <w:r>
              <w:rPr>
                <w:color w:val="000000"/>
                <w:spacing w:val="0"/>
                <w:w w:val="100"/>
                <w:position w:val="0"/>
                <w:sz w:val="22"/>
                <w:szCs w:val="22"/>
                <w:shd w:val="clear" w:color="auto" w:fill="auto"/>
                <w:lang w:val="ru-RU" w:eastAsia="ru-RU" w:bidi="ru-RU"/>
              </w:rPr>
              <w:t>1.11</w:t>
            </w:r>
          </w:p>
        </w:tc>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Ночная частота стимуляции (функция «Сон»)</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r>
      <w:tr>
        <w:trPr>
          <w:trHeight w:val="523" w:hRule="exact"/>
        </w:trPr>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220"/>
              <w:jc w:val="left"/>
              <w:rPr>
                <w:sz w:val="22"/>
                <w:szCs w:val="22"/>
              </w:rPr>
            </w:pPr>
            <w:r>
              <w:rPr>
                <w:color w:val="000000"/>
                <w:spacing w:val="0"/>
                <w:w w:val="100"/>
                <w:position w:val="0"/>
                <w:sz w:val="22"/>
                <w:szCs w:val="22"/>
                <w:shd w:val="clear" w:color="auto" w:fill="auto"/>
                <w:lang w:val="ru-RU" w:eastAsia="ru-RU" w:bidi="ru-RU"/>
              </w:rPr>
              <w:t>1.12</w:t>
            </w:r>
          </w:p>
        </w:tc>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Емкость батареи</w:t>
            </w:r>
          </w:p>
        </w:tc>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Ампер-час</w:t>
            </w:r>
          </w:p>
        </w:tc>
        <w:tc>
          <w:tcPr>
            <w:tcBorders>
              <w:top w:val="single" w:sz="4"/>
              <w:left w:val="single" w:sz="4"/>
              <w:righ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Не менее 1.6</w:t>
            </w:r>
          </w:p>
        </w:tc>
      </w:tr>
      <w:tr>
        <w:trPr>
          <w:trHeight w:val="514" w:hRule="exact"/>
        </w:trPr>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220"/>
              <w:jc w:val="left"/>
              <w:rPr>
                <w:sz w:val="22"/>
                <w:szCs w:val="22"/>
              </w:rPr>
            </w:pPr>
            <w:r>
              <w:rPr>
                <w:color w:val="000000"/>
                <w:spacing w:val="0"/>
                <w:w w:val="100"/>
                <w:position w:val="0"/>
                <w:sz w:val="22"/>
                <w:szCs w:val="22"/>
                <w:shd w:val="clear" w:color="auto" w:fill="auto"/>
                <w:lang w:val="ru-RU" w:eastAsia="ru-RU" w:bidi="ru-RU"/>
              </w:rPr>
              <w:t>1.13</w:t>
            </w:r>
          </w:p>
        </w:tc>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Амплитуда импульса, максимальное значение</w:t>
            </w:r>
          </w:p>
        </w:tc>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Вольт</w:t>
            </w:r>
          </w:p>
        </w:tc>
        <w:tc>
          <w:tcPr>
            <w:tcBorders>
              <w:top w:val="single" w:sz="4"/>
              <w:left w:val="single" w:sz="4"/>
              <w:righ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Не менее 9</w:t>
            </w:r>
          </w:p>
        </w:tc>
      </w:tr>
      <w:tr>
        <w:trPr>
          <w:trHeight w:val="518" w:hRule="exact"/>
        </w:trPr>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220"/>
              <w:jc w:val="left"/>
              <w:rPr>
                <w:sz w:val="22"/>
                <w:szCs w:val="22"/>
              </w:rPr>
            </w:pPr>
            <w:r>
              <w:rPr>
                <w:color w:val="000000"/>
                <w:spacing w:val="0"/>
                <w:w w:val="100"/>
                <w:position w:val="0"/>
                <w:sz w:val="22"/>
                <w:szCs w:val="22"/>
                <w:shd w:val="clear" w:color="auto" w:fill="auto"/>
                <w:lang w:val="ru-RU" w:eastAsia="ru-RU" w:bidi="ru-RU"/>
              </w:rPr>
              <w:t>1.14</w:t>
            </w:r>
          </w:p>
        </w:tc>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Разъем 18-1 с одним винтом</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r>
      <w:tr>
        <w:trPr>
          <w:trHeight w:val="259" w:hRule="exact"/>
        </w:trPr>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220"/>
              <w:jc w:val="left"/>
              <w:rPr>
                <w:sz w:val="22"/>
                <w:szCs w:val="22"/>
              </w:rPr>
            </w:pPr>
            <w:r>
              <w:rPr>
                <w:color w:val="000000"/>
                <w:spacing w:val="0"/>
                <w:w w:val="100"/>
                <w:position w:val="0"/>
                <w:sz w:val="22"/>
                <w:szCs w:val="22"/>
                <w:shd w:val="clear" w:color="auto" w:fill="auto"/>
                <w:lang w:val="ru-RU" w:eastAsia="ru-RU" w:bidi="ru-RU"/>
              </w:rPr>
              <w:t>1.15</w:t>
            </w:r>
          </w:p>
        </w:tc>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Рентгенконтрастная идентификационная метка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r>
      <w:tr>
        <w:trPr>
          <w:trHeight w:val="360" w:hRule="exact"/>
        </w:trPr>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220"/>
              <w:jc w:val="left"/>
              <w:rPr>
                <w:sz w:val="22"/>
                <w:szCs w:val="22"/>
              </w:rPr>
            </w:pPr>
            <w:r>
              <w:rPr>
                <w:color w:val="000000"/>
                <w:spacing w:val="0"/>
                <w:w w:val="100"/>
                <w:position w:val="0"/>
                <w:sz w:val="22"/>
                <w:szCs w:val="22"/>
                <w:shd w:val="clear" w:color="auto" w:fill="auto"/>
                <w:lang w:val="ru-RU" w:eastAsia="ru-RU" w:bidi="ru-RU"/>
              </w:rPr>
              <w:t>1.16</w:t>
            </w:r>
          </w:p>
        </w:tc>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Тренды сенсора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r>
      <w:tr>
        <w:trPr>
          <w:trHeight w:val="518" w:hRule="exact"/>
        </w:trPr>
        <w:tc>
          <w:tcPr>
            <w:tcBorders>
              <w:top w:val="single" w:sz="4"/>
              <w:left w:val="single" w:sz="4"/>
              <w:bottom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220"/>
              <w:jc w:val="left"/>
              <w:rPr>
                <w:sz w:val="22"/>
                <w:szCs w:val="22"/>
              </w:rPr>
            </w:pPr>
            <w:r>
              <w:rPr>
                <w:color w:val="000000"/>
                <w:spacing w:val="0"/>
                <w:w w:val="100"/>
                <w:position w:val="0"/>
                <w:sz w:val="22"/>
                <w:szCs w:val="22"/>
                <w:shd w:val="clear" w:color="auto" w:fill="auto"/>
                <w:lang w:val="ru-RU" w:eastAsia="ru-RU" w:bidi="ru-RU"/>
              </w:rPr>
              <w:t>1.17</w:t>
            </w:r>
          </w:p>
        </w:tc>
        <w:tc>
          <w:tcPr>
            <w:tcBorders>
              <w:top w:val="single" w:sz="4"/>
              <w:left w:val="single" w:sz="4"/>
              <w:bottom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Высокочастотная стимуляция</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r>
    </w:tbl>
    <w:p>
      <w:pPr>
        <w:pStyle w:val="Style15"/>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описание объекта закупки в соответствии со статьей 33 настоящего Федерального закона.</w:t>
      </w:r>
    </w:p>
    <w:p>
      <w:pPr>
        <w:pStyle w:val="Style15"/>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 xml:space="preserve">Как установлено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w:t>
      </w:r>
      <w:r>
        <w:rPr>
          <w:color w:val="000000"/>
          <w:spacing w:val="0"/>
          <w:w w:val="100"/>
          <w:position w:val="0"/>
          <w:shd w:val="clear" w:color="auto" w:fill="auto"/>
          <w:lang w:val="ru-RU" w:eastAsia="ru-RU" w:bidi="ru-RU"/>
        </w:rPr>
        <w:t>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2 ст.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6 ст. 23 Закона о контрактной системе Правительством Российской Федерации устанавливаются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2 ч. 29 ст. 34 Закона о контрактной системе Правительство Российской Федерации вправе определить требования к формированию лотов при осуществлении закупок отдельных видов товаров, работ, услуг.</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Постановления Правительства Российской Федерации от 19.04.2021 №620 «О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(далее - Постановление Правительства Российской Федерации от 19.04.2021 №620) установлено, что 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Российской Федерации, при условии, что значение начальной (максимальной) цены контракта (цены лота) превышает:</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600 тыс. рублей - для заказчиков, у которых объем денежных средств, направленных на закупку медицинских изделий в предшествующем году, составил менее 50 млн. рублей;</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млн. рублей - для заказчиков, у которых объем денежных средств, направленных на закупку медицинских изделий в предшествующем году, составил от 50 млн. рублей до 100 млн. рублей;</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1,5 млн. рублей - для заказчиков, у которых объем денежных средств, направленных на закупку медицинских изделий в предшествующем году, составил более 100 млн. рублей.</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2 Постановления Правительства Российской Федерации от 19.04.2021 №620 установлено, что указанное в пункте 1 настоящего постановления требование не применяется:</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закупках медицинских изделий, объединенных в один лот (контракт) по контрактам жизненного цикла, заключаемым в случаях, установленных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закупках медицинских изделий, объединенных в один лот (контракт) с расходными материалами, которые совместимы с такими медицинскими изделиями;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закупках медицинских изделий, по результатам которых заключается контракт со встречными инвестиционными обязательствами в соответствии со статьей 111.4 Закона о контрактной системе.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как следует из письма ФАС России от 24.04.2023 №МШ/31508/23 «О применении положений законодательства о контрактной системе в сфере закупок при осуществлении закупок медицинских изделий для стентирования коронарных артерий» согласно пункту 2 Постановления №620, указанное в пункте 1 требование не распространяется на закупки медицинских изделий, объединенных в один лот (контракт) по контрактам жизненного цикла, заключаемым в случаях, установленных Правительством Российской Федерации, а также на закупки медицинских изделий, объединенных в один лот (контракт) с расходными материалами, которые предусмотрены производителем (изготовителем) для использования данных медицинских изделий.</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Как следует из карточки каталога товаров, работ, услуг программатор электрокардиостимулятора имеет следующую позицию КТРУ - </w:t>
      </w:r>
      <w:r>
        <w:fldChar w:fldCharType="begin"/>
      </w:r>
      <w:r>
        <w:rPr/>
        <w:instrText> HYPERLINK "https://zakupki.gov.ru/epz/ktru/ktruCard/ktru-description.html?itemId=67262&amp;backUrl=" </w:instrText>
      </w:r>
      <w:r>
        <w:fldChar w:fldCharType="separate"/>
      </w:r>
      <w:r>
        <w:rPr>
          <w:color w:val="000000"/>
          <w:spacing w:val="0"/>
          <w:w w:val="100"/>
          <w:position w:val="0"/>
          <w:shd w:val="clear" w:color="auto" w:fill="auto"/>
          <w:lang w:val="ru-RU" w:eastAsia="ru-RU" w:bidi="ru-RU"/>
        </w:rPr>
        <w:t>26.60.14.110-00000029</w:t>
      </w:r>
      <w:r>
        <w:fldChar w:fldCharType="end"/>
      </w:r>
      <w:r>
        <w:rPr>
          <w:color w:val="000000"/>
          <w:spacing w:val="0"/>
          <w:w w:val="100"/>
          <w:position w:val="0"/>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справочной информации следует - Внешнее устройство, позволяющее пользователю неинвазивно запрашивать, тестировать, анализировать и программировать один или несколько рабочих параметров (программ) имплантированного электрокардиостимулятора. Оно считывает сохраненные в кардиостимуляторе параметры, позволяя получить ретроспективную и/или текущую информацию о его работе; может использоваться для загрузки нового программного обеспечения в кардиостимулятор. Оно представляет собой специализированное устройство, содержащее электронный пульт с приемо-передающей антенной, подключаемое к персональному компьютеру (ПК), на котором установлено специальное программное обеспечение. После обработки полученных данных ПК передает через электронный пульт необходимые команды на имплантированный кардиостимулятор.</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Комиссия Хабаровского УФАС России приходит к выводу об определении функциональной взаимосвязи между программатором и электрокардиостимулятором имплантируемым двухкамерным, частотно-адаптивным.</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Достаточных доказательств того, что оспариваемые требования к товару влекут за собой ограничение количества участников закупки на соответствующем товарном </w:t>
      </w:r>
      <w:r>
        <w:rPr>
          <w:color w:val="000000"/>
          <w:spacing w:val="0"/>
          <w:w w:val="100"/>
          <w:position w:val="0"/>
          <w:shd w:val="clear" w:color="auto" w:fill="auto"/>
          <w:lang w:val="ru-RU" w:eastAsia="ru-RU" w:bidi="ru-RU"/>
        </w:rPr>
        <w:t>рынке поставки, в том числе ограничили право заявителя на участие в электронном аукционе, препятствовали каким-либо образом подаче заявки заявителем на участие в закупке, в материалах внеплановой проверки отсутствуют, а также однозначно свидетельствующих о том, что объединение в один лот программатора и электрокардиостимулятора имплантируемого двухкамерного, частотно-адаптивного, заявителем в Хабаровское УФАС России не представлено.</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Хабаровского УФАС России, проанализировав представленные материалы дела, не усматривает в действиях заказчика нарушений требований Закона о контрактной системе, в связи с чем, данный довод жалобы заявителя признается необоснованным.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изучив Техническую часть, Комиссией Хабаровского УФАС России установлено, что заказчиком в характеристики электрокардиостимулятора имплантируемого двухкамерного, частотно-адаптивного включен встроенный кардиограф и принтер в программаторе.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Программатор электрокардиостимулятора является самостоятельным медицинским изделием, поскольку имеет собственную позицию КТРУ -</w:t>
      </w:r>
      <w:r>
        <w:fldChar w:fldCharType="begin"/>
      </w:r>
      <w:r>
        <w:rPr/>
        <w:instrText> HYPERLINK "https://zakupki.gov.ru/epz/ktru/ktruCard/ktru-description.html?itemId=67262&amp;backUrl=" </w:instrText>
      </w:r>
      <w:r>
        <w:fldChar w:fldCharType="separate"/>
      </w:r>
      <w:r>
        <w:rPr>
          <w:color w:val="000000"/>
          <w:spacing w:val="0"/>
          <w:w w:val="100"/>
          <w:position w:val="0"/>
          <w:shd w:val="clear" w:color="auto" w:fill="auto"/>
          <w:lang w:val="ru-RU" w:eastAsia="ru-RU" w:bidi="ru-RU"/>
        </w:rPr>
        <w:t xml:space="preserve"> 26.60.14.110</w:t>
        <w:softHyphen/>
      </w:r>
      <w:r>
        <w:fldChar w:fldCharType="end"/>
      </w:r>
      <w:r>
        <w:rPr>
          <w:color w:val="000000"/>
          <w:spacing w:val="0"/>
          <w:w w:val="100"/>
          <w:position w:val="0"/>
          <w:shd w:val="clear" w:color="auto" w:fill="auto"/>
          <w:lang w:val="ru-RU" w:eastAsia="ru-RU" w:bidi="ru-RU"/>
        </w:rPr>
      </w:r>
      <w:r>
        <w:fldChar w:fldCharType="begin"/>
      </w:r>
      <w:r>
        <w:rPr/>
        <w:instrText> HYPERLINK "https://zakupki.gov.ru/epz/ktru/ktruCard/ktru-description.html?itemId=67262&amp;backUrl=" </w:instrText>
      </w:r>
      <w:r>
        <w:fldChar w:fldCharType="separate"/>
      </w:r>
      <w:r>
        <w:rPr>
          <w:color w:val="000000"/>
          <w:spacing w:val="0"/>
          <w:w w:val="100"/>
          <w:position w:val="0"/>
          <w:shd w:val="clear" w:color="auto" w:fill="auto"/>
          <w:lang w:val="ru-RU" w:eastAsia="ru-RU" w:bidi="ru-RU"/>
        </w:rPr>
        <w:t>00000029</w:t>
      </w:r>
      <w:r>
        <w:fldChar w:fldCharType="end"/>
      </w:r>
      <w:r>
        <w:rPr>
          <w:color w:val="000000"/>
          <w:spacing w:val="0"/>
          <w:w w:val="100"/>
          <w:position w:val="0"/>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заказчику при составлении извещения о закупке следовало выделить два медицинских изделия, что позволило бы потенциальным участником идентифицировать функциональные, технические, качественные характеристики, а также количество товара, требуемого заказчику, а именно:</w:t>
      </w:r>
    </w:p>
    <w:p>
      <w:pPr>
        <w:pStyle w:val="Style15"/>
        <w:keepNext w:val="0"/>
        <w:keepLines w:val="0"/>
        <w:widowControl w:val="0"/>
        <w:numPr>
          <w:ilvl w:val="0"/>
          <w:numId w:val="13"/>
        </w:numPr>
        <w:shd w:val="clear" w:color="auto" w:fill="auto"/>
        <w:tabs>
          <w:tab w:pos="1299" w:val="left"/>
          <w:tab w:pos="1301" w:val="left"/>
          <w:tab w:pos="4262" w:val="left"/>
        </w:tabs>
        <w:bidi w:val="0"/>
        <w:spacing w:before="0" w:after="0" w:line="240" w:lineRule="auto"/>
        <w:ind w:left="0" w:right="0" w:firstLine="720"/>
        <w:jc w:val="both"/>
      </w:pPr>
      <w:r>
        <w:fldChar w:fldCharType="begin"/>
      </w:r>
      <w:r>
        <w:rPr/>
        <w:instrText> HYPERLINK "https://zakupki.gov.ru/epz/ktru/ktruCard/commonInfo.html?itemVersionId=82964" </w:instrText>
      </w:r>
      <w:r>
        <w:fldChar w:fldCharType="separate"/>
      </w:r>
      <w:r>
        <w:rPr>
          <w:color w:val="000000"/>
          <w:spacing w:val="0"/>
          <w:w w:val="100"/>
          <w:position w:val="0"/>
          <w:shd w:val="clear" w:color="auto" w:fill="auto"/>
          <w:lang w:val="ru-RU" w:eastAsia="ru-RU" w:bidi="ru-RU"/>
        </w:rPr>
        <w:t>26.60.14.110-00000044</w:t>
        <w:tab/>
      </w:r>
      <w:r>
        <w:fldChar w:fldCharType="end"/>
      </w:r>
      <w:r>
        <w:rPr>
          <w:color w:val="000000"/>
          <w:spacing w:val="0"/>
          <w:w w:val="100"/>
          <w:position w:val="0"/>
          <w:shd w:val="clear" w:color="auto" w:fill="auto"/>
          <w:lang w:val="ru-RU" w:eastAsia="ru-RU" w:bidi="ru-RU"/>
        </w:rPr>
        <w:t>- Электрокардиостимулятор имплантируемый</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двухкамерный, частотно-адаптивный;</w:t>
      </w:r>
    </w:p>
    <w:p>
      <w:pPr>
        <w:pStyle w:val="Style15"/>
        <w:keepNext w:val="0"/>
        <w:keepLines w:val="0"/>
        <w:widowControl w:val="0"/>
        <w:numPr>
          <w:ilvl w:val="0"/>
          <w:numId w:val="13"/>
        </w:numPr>
        <w:shd w:val="clear" w:color="auto" w:fill="auto"/>
        <w:tabs>
          <w:tab w:pos="1299" w:val="left"/>
        </w:tabs>
        <w:bidi w:val="0"/>
        <w:spacing w:before="0" w:after="0" w:line="240" w:lineRule="auto"/>
        <w:ind w:left="0" w:right="0" w:firstLine="720"/>
        <w:jc w:val="both"/>
      </w:pPr>
      <w:r>
        <w:fldChar w:fldCharType="begin"/>
      </w:r>
      <w:r>
        <w:rPr/>
        <w:instrText> HYPERLINK "https://zakupki.gov.ru/epz/ktru/ktruCard/ktru-description.html?itemId=67262&amp;backUrl=" </w:instrText>
      </w:r>
      <w:r>
        <w:fldChar w:fldCharType="separate"/>
      </w:r>
      <w:r>
        <w:rPr>
          <w:color w:val="000000"/>
          <w:spacing w:val="0"/>
          <w:w w:val="100"/>
          <w:position w:val="0"/>
          <w:shd w:val="clear" w:color="auto" w:fill="auto"/>
          <w:lang w:val="ru-RU" w:eastAsia="ru-RU" w:bidi="ru-RU"/>
        </w:rPr>
        <w:t xml:space="preserve">26.60.14.110-00000029 </w:t>
      </w:r>
      <w:r>
        <w:fldChar w:fldCharType="end"/>
      </w:r>
      <w:r>
        <w:rPr>
          <w:color w:val="000000"/>
          <w:spacing w:val="0"/>
          <w:w w:val="100"/>
          <w:position w:val="0"/>
          <w:shd w:val="clear" w:color="auto" w:fill="auto"/>
          <w:lang w:val="ru-RU" w:eastAsia="ru-RU" w:bidi="ru-RU"/>
        </w:rPr>
        <w:t>- Программатор электрокардиостимулятора.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в действиях заказчика устанавливается нарушение п. 1 ч. 1 ст. 33 Закона о контрактной системе, что образует состав административного правонарушения, предусмотренного ч. 1.4 ст. 7.30 КоАП РФ.</w:t>
      </w:r>
    </w:p>
    <w:p>
      <w:pPr>
        <w:pStyle w:val="Style15"/>
        <w:keepNext w:val="0"/>
        <w:keepLines w:val="0"/>
        <w:widowControl w:val="0"/>
        <w:numPr>
          <w:ilvl w:val="0"/>
          <w:numId w:val="13"/>
        </w:numPr>
        <w:shd w:val="clear" w:color="auto" w:fill="auto"/>
        <w:tabs>
          <w:tab w:pos="10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п. п. 1,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том числе: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w:t>
      </w:r>
      <w:r>
        <w:rPr>
          <w:color w:val="000000"/>
          <w:spacing w:val="0"/>
          <w:w w:val="100"/>
          <w:position w:val="0"/>
          <w:shd w:val="clear" w:color="auto" w:fill="auto"/>
          <w:lang w:val="ru-RU" w:eastAsia="ru-RU" w:bidi="ru-RU"/>
        </w:rPr>
        <w:t>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5"/>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Описание объекта закупки содержится в извещении об осуществлении закупки и в Технической части документации «Описание объекта закупки».</w:t>
      </w:r>
    </w:p>
    <w:p>
      <w:pPr>
        <w:pStyle w:val="Style15"/>
        <w:keepNext w:val="0"/>
        <w:keepLines w:val="0"/>
        <w:widowControl w:val="0"/>
        <w:shd w:val="clear" w:color="auto" w:fill="auto"/>
        <w:tabs>
          <w:tab w:pos="6585" w:val="left"/>
        </w:tabs>
        <w:bidi w:val="0"/>
        <w:spacing w:before="0" w:after="0" w:line="240" w:lineRule="auto"/>
        <w:ind w:left="220" w:right="0" w:firstLine="700"/>
        <w:jc w:val="both"/>
      </w:pPr>
      <w:r>
        <w:rPr>
          <w:color w:val="000000"/>
          <w:spacing w:val="0"/>
          <w:w w:val="100"/>
          <w:position w:val="0"/>
          <w:shd w:val="clear" w:color="auto" w:fill="auto"/>
          <w:lang w:val="ru-RU" w:eastAsia="ru-RU" w:bidi="ru-RU"/>
        </w:rPr>
        <w:t>В своей жалобе заявитель полагает, что в указанные в документации требования к функциональным, техническим, качественным и эксплуатационным характеристикам товара соответствуют только одному товару. Заказчик включает в описание программатора наличие встроенного кардиографа и принтера. Данные функции присутствуют только у одного Программатора для имплантируемых электрокардиостимуляторов «ЮНИ-2» по ТУ 9444-026-52783477-2011, производитель ЗАО «КАРДИКС». Программатор для имплантируемых электрокардиостимуляторов «ЮНИ-2» по ТУ 9444-026- 52783477-2011 подходит лишь для двух моделей электрокардиостимуляторов - «\'П25ЛК-1Ж» (производитель АО «Ижевский механический завод») и «Аро11о^В» (ООО «Кардиоэлектроника»). Заказчик планировал к закупу эти модели, что подтверждает Поиск информации при формировании НМЦК на</w:t>
      </w:r>
      <w:r>
        <w:fldChar w:fldCharType="begin"/>
      </w:r>
      <w:r>
        <w:rPr/>
        <w:instrText> HYPERLINK "https://www.supmed.ru/Goods_page.php?g_My_Article=12443" </w:instrText>
      </w:r>
      <w:r>
        <w:fldChar w:fldCharType="separate"/>
      </w:r>
      <w:r>
        <w:rPr>
          <w:color w:val="000000"/>
          <w:spacing w:val="0"/>
          <w:w w:val="100"/>
          <w:position w:val="0"/>
          <w:shd w:val="clear" w:color="auto" w:fill="auto"/>
          <w:lang w:val="ru-RU" w:eastAsia="ru-RU" w:bidi="ru-RU"/>
        </w:rPr>
        <w:t xml:space="preserve"> 1й1р8: \у\у\у.8иртескп1</w:t>
      </w:r>
      <w:r>
        <w:rPr>
          <w:color w:val="000000"/>
          <w:spacing w:val="0"/>
          <w:w w:val="100"/>
          <w:position w:val="0"/>
          <w:shd w:val="clear" w:color="auto" w:fill="auto"/>
          <w:vertAlign w:val="superscript"/>
          <w:lang w:val="ru-RU" w:eastAsia="ru-RU" w:bidi="ru-RU"/>
        </w:rPr>
        <w:t>/</w:t>
      </w:r>
      <w:r>
        <w:rPr>
          <w:color w:val="000000"/>
          <w:spacing w:val="0"/>
          <w:w w:val="100"/>
          <w:position w:val="0"/>
          <w:shd w:val="clear" w:color="auto" w:fill="auto"/>
          <w:lang w:val="ru-RU" w:eastAsia="ru-RU" w:bidi="ru-RU"/>
        </w:rPr>
        <w:t xml:space="preserve">'С1ооск раде.р11р?д Му Лг11е1е 12443 </w:t>
      </w:r>
      <w:r>
        <w:fldChar w:fldCharType="end"/>
      </w:r>
      <w:r>
        <w:rPr>
          <w:color w:val="000000"/>
          <w:spacing w:val="0"/>
          <w:w w:val="100"/>
          <w:position w:val="0"/>
          <w:shd w:val="clear" w:color="auto" w:fill="auto"/>
          <w:lang w:val="ru-RU" w:eastAsia="ru-RU" w:bidi="ru-RU"/>
        </w:rPr>
        <w:t xml:space="preserve">и </w:t>
      </w:r>
      <w:r>
        <w:fldChar w:fldCharType="begin"/>
      </w:r>
      <w:r>
        <w:rPr/>
        <w:instrText> HYPERLINK "https://etpgpb.ru/portal/catalog/products/" </w:instrText>
      </w:r>
      <w:r>
        <w:fldChar w:fldCharType="separate"/>
      </w:r>
      <w:r>
        <w:rPr>
          <w:color w:val="000000"/>
          <w:spacing w:val="0"/>
          <w:w w:val="100"/>
          <w:position w:val="0"/>
          <w:shd w:val="clear" w:color="auto" w:fill="auto"/>
          <w:lang w:val="ru-RU" w:eastAsia="ru-RU" w:bidi="ru-RU"/>
        </w:rPr>
        <w:t>Ъйр§://е1рдрЬ.ги/рог1а1/са1а1од/ргойис18/</w:t>
      </w:r>
      <w:r>
        <w:fldChar w:fldCharType="end"/>
      </w:r>
      <w:r>
        <w:rPr>
          <w:color w:val="000000"/>
          <w:spacing w:val="0"/>
          <w:w w:val="100"/>
          <w:position w:val="0"/>
          <w:shd w:val="clear" w:color="auto" w:fill="auto"/>
          <w:lang w:val="ru-RU" w:eastAsia="ru-RU" w:bidi="ru-RU"/>
        </w:rPr>
        <w:t>156097-</w:t>
        <w:tab/>
        <w:t>е1ек1гокаг01о811ти1уа1ог-у1г8аг-0г-</w:t>
      </w:r>
    </w:p>
    <w:p>
      <w:pPr>
        <w:pStyle w:val="Style15"/>
        <w:keepNext w:val="0"/>
        <w:keepLines w:val="0"/>
        <w:widowControl w:val="0"/>
        <w:shd w:val="clear" w:color="auto" w:fill="auto"/>
        <w:bidi w:val="0"/>
        <w:spacing w:before="0" w:after="40" w:line="240" w:lineRule="auto"/>
        <w:ind w:left="0" w:right="0" w:firstLine="220"/>
        <w:jc w:val="both"/>
      </w:pPr>
      <w:r>
        <w:rPr>
          <w:color w:val="000000"/>
          <w:spacing w:val="0"/>
          <w:w w:val="100"/>
          <w:position w:val="0"/>
          <w:shd w:val="clear" w:color="auto" w:fill="auto"/>
          <w:lang w:val="ru-RU" w:eastAsia="ru-RU" w:bidi="ru-RU"/>
        </w:rPr>
        <w:t>с1уц11катеп]уу-27д-и1-9444-028-527</w:t>
      </w:r>
      <w:r>
        <w:rPr>
          <w:color w:val="000000"/>
          <w:spacing w:val="0"/>
          <w:w w:val="100"/>
          <w:position w:val="0"/>
          <w:shd w:val="clear" w:color="auto" w:fill="auto"/>
          <w:vertAlign w:val="superscript"/>
          <w:lang w:val="ru-RU" w:eastAsia="ru-RU" w:bidi="ru-RU"/>
        </w:rPr>
        <w:t>/</w:t>
      </w:r>
      <w:r>
        <w:rPr>
          <w:color w:val="000000"/>
          <w:spacing w:val="0"/>
          <w:w w:val="100"/>
          <w:position w:val="0"/>
          <w:shd w:val="clear" w:color="auto" w:fill="auto"/>
          <w:lang w:val="ru-RU" w:eastAsia="ru-RU" w:bidi="ru-RU"/>
        </w:rPr>
        <w:t>'.</w:t>
      </w:r>
    </w:p>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Как следует из Технической части заказчиком установлены следующие </w:t>
      </w:r>
      <w:r>
        <w:rPr>
          <w:color w:val="000000"/>
          <w:spacing w:val="0"/>
          <w:w w:val="100"/>
          <w:position w:val="0"/>
          <w:u w:val="single"/>
          <w:shd w:val="clear" w:color="auto" w:fill="auto"/>
          <w:lang w:val="ru-RU" w:eastAsia="ru-RU" w:bidi="ru-RU"/>
        </w:rPr>
        <w:t>требования к товару, в том числе:</w:t>
      </w:r>
    </w:p>
    <w:tbl>
      <w:tblPr>
        <w:tblOverlap w:val="never"/>
        <w:jc w:val="center"/>
        <w:tblLayout w:type="fixed"/>
      </w:tblPr>
      <w:tblGrid>
        <w:gridCol w:w="821"/>
        <w:gridCol w:w="5107"/>
        <w:gridCol w:w="1982"/>
        <w:gridCol w:w="2530"/>
      </w:tblGrid>
      <w:tr>
        <w:trPr>
          <w:trHeight w:val="850" w:hRule="exact"/>
        </w:trPr>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 п/п</w:t>
            </w:r>
          </w:p>
        </w:tc>
        <w:tc>
          <w:tcPr>
            <w:tcBorders>
              <w:top w:val="single" w:sz="4"/>
              <w:left w:val="single" w:sz="4"/>
            </w:tcBorders>
            <w:shd w:val="clear" w:color="auto" w:fill="auto"/>
            <w:vAlign w:val="center"/>
          </w:tcPr>
          <w:p>
            <w:pPr>
              <w:pStyle w:val="Style7"/>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Наименование товара, его показателей (характеристик), потребительских свойств</w:t>
            </w:r>
          </w:p>
        </w:tc>
        <w:tc>
          <w:tcPr>
            <w:tcBorders>
              <w:top w:val="single" w:sz="4"/>
              <w:left w:val="single" w:sz="4"/>
            </w:tcBorders>
            <w:shd w:val="clear" w:color="auto" w:fill="auto"/>
            <w:vAlign w:val="center"/>
          </w:tcPr>
          <w:p>
            <w:pPr>
              <w:pStyle w:val="Style7"/>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Ед. изм.</w:t>
            </w:r>
          </w:p>
        </w:tc>
        <w:tc>
          <w:tcPr>
            <w:tcBorders>
              <w:top w:val="single" w:sz="4"/>
              <w:left w:val="single" w:sz="4"/>
              <w:right w:val="single" w:sz="4"/>
            </w:tcBorders>
            <w:shd w:val="clear" w:color="auto" w:fill="auto"/>
            <w:vAlign w:val="center"/>
          </w:tcPr>
          <w:p>
            <w:pPr>
              <w:pStyle w:val="Style7"/>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Значение показателя (характеристики)</w:t>
            </w:r>
          </w:p>
        </w:tc>
      </w:tr>
      <w:tr>
        <w:trPr>
          <w:trHeight w:val="768" w:hRule="exact"/>
        </w:trPr>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1</w:t>
            </w:r>
          </w:p>
        </w:tc>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Электрокардиостимулятор имплантируемый двухкамерный, частотно-адаптивный Код позиции КТРУ - 26.60.14.110-00000044</w:t>
            </w:r>
          </w:p>
        </w:tc>
        <w:tc>
          <w:tcPr>
            <w:gridSpan w:val="2"/>
            <w:tcBorders>
              <w:top w:val="single" w:sz="4"/>
              <w:left w:val="single" w:sz="4"/>
              <w:right w:val="single" w:sz="4"/>
            </w:tcBorders>
            <w:shd w:val="clear" w:color="auto" w:fill="auto"/>
            <w:vAlign w:val="top"/>
          </w:tcPr>
          <w:p>
            <w:pPr>
              <w:widowControl w:val="0"/>
              <w:rPr>
                <w:sz w:val="10"/>
                <w:szCs w:val="10"/>
              </w:rPr>
            </w:pPr>
          </w:p>
        </w:tc>
      </w:tr>
      <w:tr>
        <w:trPr>
          <w:trHeight w:val="518" w:hRule="exact"/>
        </w:trPr>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220"/>
              <w:jc w:val="left"/>
              <w:rPr>
                <w:sz w:val="22"/>
                <w:szCs w:val="22"/>
              </w:rPr>
            </w:pPr>
            <w:r>
              <w:rPr>
                <w:color w:val="000000"/>
                <w:spacing w:val="0"/>
                <w:w w:val="100"/>
                <w:position w:val="0"/>
                <w:sz w:val="22"/>
                <w:szCs w:val="22"/>
                <w:shd w:val="clear" w:color="auto" w:fill="auto"/>
                <w:lang w:val="ru-RU" w:eastAsia="ru-RU" w:bidi="ru-RU"/>
              </w:rPr>
              <w:t>1.5</w:t>
            </w:r>
          </w:p>
        </w:tc>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Границы диапазона чувствительности по желудочковому каналу минимальное значение</w:t>
            </w:r>
          </w:p>
        </w:tc>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мВ</w:t>
            </w:r>
          </w:p>
        </w:tc>
        <w:tc>
          <w:tcPr>
            <w:tcBorders>
              <w:top w:val="single" w:sz="4"/>
              <w:left w:val="single" w:sz="4"/>
              <w:righ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0,5</w:t>
            </w:r>
          </w:p>
        </w:tc>
      </w:tr>
      <w:tr>
        <w:trPr>
          <w:trHeight w:val="518" w:hRule="exact"/>
        </w:trPr>
        <w:tc>
          <w:tcPr>
            <w:tcBorders>
              <w:top w:val="single" w:sz="4"/>
              <w:left w:val="single" w:sz="4"/>
              <w:bottom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1.12</w:t>
            </w:r>
          </w:p>
        </w:tc>
        <w:tc>
          <w:tcPr>
            <w:tcBorders>
              <w:top w:val="single" w:sz="4"/>
              <w:left w:val="single" w:sz="4"/>
              <w:bottom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Емкость батареи</w:t>
            </w:r>
          </w:p>
        </w:tc>
        <w:tc>
          <w:tcPr>
            <w:tcBorders>
              <w:top w:val="single" w:sz="4"/>
              <w:left w:val="single" w:sz="4"/>
              <w:bottom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Ампер-час</w:t>
            </w:r>
          </w:p>
        </w:tc>
        <w:tc>
          <w:tcPr>
            <w:tcBorders>
              <w:top w:val="single" w:sz="4"/>
              <w:left w:val="single" w:sz="4"/>
              <w:bottom w:val="single" w:sz="4"/>
              <w:righ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Не менее 1.6</w:t>
            </w:r>
          </w:p>
        </w:tc>
      </w:tr>
    </w:tbl>
    <w:p>
      <w:pPr>
        <w:widowControl w:val="0"/>
        <w:spacing w:line="1" w:lineRule="exact"/>
      </w:pPr>
    </w:p>
    <w:p>
      <w:pPr>
        <w:pStyle w:val="Style32"/>
        <w:keepNext w:val="0"/>
        <w:keepLines w:val="0"/>
        <w:widowControl w:val="0"/>
        <w:shd w:val="clear" w:color="auto" w:fill="auto"/>
        <w:tabs>
          <w:tab w:leader="underscore" w:pos="10205" w:val="left"/>
        </w:tabs>
        <w:bidi w:val="0"/>
        <w:spacing w:before="0" w:after="0" w:line="240" w:lineRule="auto"/>
        <w:ind w:left="0" w:right="0" w:firstLine="0"/>
        <w:jc w:val="both"/>
      </w:pPr>
      <w:r>
        <w:rPr>
          <w:color w:val="000000"/>
          <w:spacing w:val="0"/>
          <w:w w:val="100"/>
          <w:position w:val="0"/>
          <w:shd w:val="clear" w:color="auto" w:fill="auto"/>
          <w:lang w:val="ru-RU" w:eastAsia="ru-RU" w:bidi="ru-RU"/>
        </w:rPr>
        <w:t xml:space="preserve">Как установлено, Комиссией Хабаровского УФАС России технические характеристики данных моделей электрокардиостимуляторов не подходят под технические характеристики закупки по следующим параметрам, что подтверждается </w:t>
      </w:r>
      <w:r>
        <w:rPr>
          <w:color w:val="000000"/>
          <w:spacing w:val="0"/>
          <w:w w:val="100"/>
          <w:position w:val="0"/>
          <w:u w:val="single"/>
          <w:shd w:val="clear" w:color="auto" w:fill="auto"/>
          <w:lang w:val="ru-RU" w:eastAsia="ru-RU" w:bidi="ru-RU"/>
        </w:rPr>
        <w:t>Инструкциями с сайта Федеральной службы по надзору в сфере здравоохранения:</w:t>
      </w:r>
      <w:r>
        <w:rPr>
          <w:color w:val="000000"/>
          <w:spacing w:val="0"/>
          <w:w w:val="100"/>
          <w:position w:val="0"/>
          <w:shd w:val="clear" w:color="auto" w:fill="auto"/>
          <w:lang w:val="ru-RU" w:eastAsia="ru-RU" w:bidi="ru-RU"/>
        </w:rPr>
        <w:tab/>
      </w:r>
    </w:p>
    <w:tbl>
      <w:tblPr>
        <w:tblOverlap w:val="never"/>
        <w:jc w:val="center"/>
        <w:tblLayout w:type="fixed"/>
      </w:tblPr>
      <w:tblGrid>
        <w:gridCol w:w="979"/>
        <w:gridCol w:w="2731"/>
        <w:gridCol w:w="984"/>
        <w:gridCol w:w="1843"/>
        <w:gridCol w:w="1320"/>
        <w:gridCol w:w="2582"/>
      </w:tblGrid>
      <w:tr>
        <w:trPr>
          <w:trHeight w:val="1027" w:hRule="exact"/>
        </w:trPr>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 п/п</w:t>
            </w:r>
          </w:p>
        </w:tc>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Наименование товара, его показателей (характеристик), потребительских свойств</w:t>
            </w:r>
          </w:p>
        </w:tc>
        <w:tc>
          <w:tcPr>
            <w:tcBorders>
              <w:top w:val="single" w:sz="4"/>
              <w:left w:val="single" w:sz="4"/>
            </w:tcBorders>
            <w:shd w:val="clear" w:color="auto" w:fill="auto"/>
            <w:vAlign w:val="center"/>
          </w:tcPr>
          <w:p>
            <w:pPr>
              <w:pStyle w:val="Style7"/>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Ед. изм.</w:t>
            </w:r>
          </w:p>
        </w:tc>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Значение показателя (характеристики) по ТЗ</w:t>
            </w:r>
          </w:p>
        </w:tc>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«Аро11о 1Ж» РЗН 2016/3558</w:t>
            </w:r>
          </w:p>
        </w:tc>
        <w:tc>
          <w:tcPr>
            <w:tcBorders>
              <w:top w:val="single" w:sz="4"/>
              <w:left w:val="single" w:sz="4"/>
              <w:right w:val="single" w:sz="4"/>
            </w:tcBorders>
            <w:shd w:val="clear" w:color="auto" w:fill="auto"/>
            <w:vAlign w:val="top"/>
          </w:tcPr>
          <w:p>
            <w:pPr>
              <w:pStyle w:val="Style7"/>
              <w:keepNext w:val="0"/>
              <w:keepLines w:val="0"/>
              <w:widowControl w:val="0"/>
              <w:shd w:val="clear" w:color="auto" w:fill="auto"/>
              <w:bidi w:val="0"/>
              <w:spacing w:before="0" w:after="0" w:line="252" w:lineRule="auto"/>
              <w:ind w:left="0" w:right="0" w:firstLine="0"/>
              <w:jc w:val="center"/>
              <w:rPr>
                <w:sz w:val="22"/>
                <w:szCs w:val="22"/>
              </w:rPr>
            </w:pPr>
            <w:r>
              <w:rPr>
                <w:color w:val="000000"/>
                <w:spacing w:val="0"/>
                <w:w w:val="100"/>
                <w:position w:val="0"/>
                <w:sz w:val="22"/>
                <w:szCs w:val="22"/>
                <w:shd w:val="clear" w:color="auto" w:fill="auto"/>
                <w:lang w:val="ru-RU" w:eastAsia="ru-RU" w:bidi="ru-RU"/>
              </w:rPr>
              <w:t>«\’П&lt;8А1&lt;1Ж&gt;&gt; РЗН 2016/3494</w:t>
            </w:r>
          </w:p>
        </w:tc>
      </w:tr>
      <w:tr>
        <w:trPr>
          <w:trHeight w:val="1536" w:hRule="exact"/>
        </w:trPr>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1</w:t>
            </w:r>
          </w:p>
        </w:tc>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Электрокардиостимулятор имплантируемый двухкамерный, частотно</w:t>
              <w:softHyphen/>
              <w:t>адаптивный Код позиции КТРУ - 26.60.14.110</w:t>
              <w:softHyphen/>
              <w:t>00000044</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022" w:hRule="exact"/>
        </w:trPr>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1.5</w:t>
            </w:r>
          </w:p>
        </w:tc>
        <w:tc>
          <w:tcPr>
            <w:tcBorders>
              <w:top w:val="single" w:sz="4"/>
              <w:left w:val="single" w:sz="4"/>
            </w:tcBorders>
            <w:shd w:val="clear" w:color="auto" w:fill="auto"/>
            <w:vAlign w:val="bottom"/>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Границы диапазона чувствительности по желудочковому каналу минимальное значение</w:t>
            </w:r>
          </w:p>
        </w:tc>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мВ</w:t>
            </w:r>
          </w:p>
        </w:tc>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0,5</w:t>
            </w:r>
          </w:p>
        </w:tc>
        <w:tc>
          <w:tcPr>
            <w:tcBorders>
              <w:top w:val="single" w:sz="4"/>
              <w:lef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1,0</w:t>
            </w:r>
          </w:p>
        </w:tc>
        <w:tc>
          <w:tcPr>
            <w:tcBorders>
              <w:top w:val="single" w:sz="4"/>
              <w:left w:val="single" w:sz="4"/>
              <w:righ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1,0</w:t>
            </w:r>
          </w:p>
        </w:tc>
      </w:tr>
      <w:tr>
        <w:trPr>
          <w:trHeight w:val="773" w:hRule="exact"/>
        </w:trPr>
        <w:tc>
          <w:tcPr>
            <w:tcBorders>
              <w:top w:val="single" w:sz="4"/>
              <w:left w:val="single" w:sz="4"/>
              <w:bottom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1.12</w:t>
            </w:r>
          </w:p>
        </w:tc>
        <w:tc>
          <w:tcPr>
            <w:tcBorders>
              <w:top w:val="single" w:sz="4"/>
              <w:left w:val="single" w:sz="4"/>
              <w:bottom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Емкость батареи</w:t>
            </w:r>
          </w:p>
        </w:tc>
        <w:tc>
          <w:tcPr>
            <w:tcBorders>
              <w:top w:val="single" w:sz="4"/>
              <w:left w:val="single" w:sz="4"/>
              <w:bottom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Ампер- час</w:t>
            </w:r>
          </w:p>
        </w:tc>
        <w:tc>
          <w:tcPr>
            <w:tcBorders>
              <w:top w:val="single" w:sz="4"/>
              <w:left w:val="single" w:sz="4"/>
              <w:bottom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Не менее 1.6</w:t>
            </w:r>
          </w:p>
        </w:tc>
        <w:tc>
          <w:tcPr>
            <w:tcBorders>
              <w:top w:val="single" w:sz="4"/>
              <w:left w:val="single" w:sz="4"/>
              <w:bottom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1,5</w:t>
            </w:r>
          </w:p>
        </w:tc>
        <w:tc>
          <w:tcPr>
            <w:tcBorders>
              <w:top w:val="single" w:sz="4"/>
              <w:left w:val="single" w:sz="4"/>
              <w:bottom w:val="single" w:sz="4"/>
              <w:right w:val="single" w:sz="4"/>
            </w:tcBorders>
            <w:shd w:val="clear" w:color="auto" w:fill="auto"/>
            <w:vAlign w:val="top"/>
          </w:tcPr>
          <w:p>
            <w:pPr>
              <w:pStyle w:val="Style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1,5</w:t>
            </w:r>
          </w:p>
        </w:tc>
      </w:tr>
    </w:tbl>
    <w:p>
      <w:pPr>
        <w:pStyle w:val="Style15"/>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Также, в материалы дела заказчиком не представлено доказательств, что техническая часть, соответствует, как минимум характеристикам двух медицинских изделий разных производителей.</w:t>
      </w:r>
    </w:p>
    <w:p>
      <w:pPr>
        <w:pStyle w:val="Style15"/>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Таким образом, в действиях заказчика устанавливается нарушение п. 1 ч. 1 ст. 33 Закона о контрактной системе, что образует состав административного правонарушения, предусмотренного ч. 1.4 ст. 7.30 КоАП РФ.</w:t>
      </w:r>
    </w:p>
    <w:p>
      <w:pPr>
        <w:pStyle w:val="Style15"/>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Данный довод жалобы признается Комиссией Хабаровского УФАС России обоснованным.</w:t>
      </w:r>
    </w:p>
    <w:p>
      <w:pPr>
        <w:pStyle w:val="Style15"/>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Учитывая, что в соответствии с протоколом подведения итогов от 01.10.2024 единственная заявка заказчиком отклонена, электронная процедура признана несостоявшейся, Комиссия Хабаровского УФАС России приходит к выводу об отсутствии необходимости выдачи предписания.</w:t>
      </w:r>
    </w:p>
    <w:p>
      <w:pPr>
        <w:pStyle w:val="Style15"/>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На основании изложенного,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Хабаровского УФАС России,</w:t>
      </w:r>
    </w:p>
    <w:p>
      <w:pPr>
        <w:pStyle w:val="Style15"/>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5"/>
        <w:keepNext w:val="0"/>
        <w:keepLines w:val="0"/>
        <w:widowControl w:val="0"/>
        <w:numPr>
          <w:ilvl w:val="0"/>
          <w:numId w:val="15"/>
        </w:numPr>
        <w:shd w:val="clear" w:color="auto" w:fill="auto"/>
        <w:tabs>
          <w:tab w:pos="1641" w:val="left"/>
        </w:tabs>
        <w:bidi w:val="0"/>
        <w:spacing w:before="0" w:after="0" w:line="240" w:lineRule="auto"/>
        <w:ind w:left="220" w:right="0" w:firstLine="700"/>
        <w:jc w:val="both"/>
      </w:pPr>
      <w:r>
        <w:rPr>
          <w:color w:val="000000"/>
          <w:spacing w:val="0"/>
          <w:w w:val="100"/>
          <w:position w:val="0"/>
          <w:shd w:val="clear" w:color="auto" w:fill="auto"/>
          <w:lang w:val="ru-RU" w:eastAsia="ru-RU" w:bidi="ru-RU"/>
        </w:rPr>
        <w:t>Признать жалобу ООО «Амур-центр» на действия заказчика - КГБУЗ «Краевая клиническая больница» имени профессора С.И. Сергеева Министерства здравоохранения Хабаровского края при осуществлении закупки, осуществляемой в соответствии с частью 12 статьи 93 Закона о контрактной системе на поставку электрокардиостимулятора имплантируемого двухкамерного, частотно-адаптивного (извещение №</w:t>
      </w:r>
      <w:r>
        <w:fldChar w:fldCharType="begin"/>
      </w:r>
      <w:r>
        <w:rPr/>
        <w:instrText> HYPERLINK "https://zakupki.gov.ru/epz/order/notice/ezt20/view/common-info.html?regNumber=0322200001224001525" </w:instrText>
      </w:r>
      <w:r>
        <w:fldChar w:fldCharType="separate"/>
      </w:r>
      <w:r>
        <w:rPr>
          <w:color w:val="000000"/>
          <w:spacing w:val="0"/>
          <w:w w:val="100"/>
          <w:position w:val="0"/>
          <w:shd w:val="clear" w:color="auto" w:fill="auto"/>
          <w:lang w:val="ru-RU" w:eastAsia="ru-RU" w:bidi="ru-RU"/>
        </w:rPr>
        <w:t xml:space="preserve">0322200001224001525 </w:t>
      </w:r>
      <w:r>
        <w:fldChar w:fldCharType="end"/>
      </w:r>
      <w:r>
        <w:rPr>
          <w:color w:val="000000"/>
          <w:spacing w:val="0"/>
          <w:w w:val="100"/>
          <w:position w:val="0"/>
          <w:shd w:val="clear" w:color="auto" w:fill="auto"/>
          <w:lang w:val="ru-RU" w:eastAsia="ru-RU" w:bidi="ru-RU"/>
        </w:rPr>
        <w:t xml:space="preserve">от 30.09.2024) </w:t>
      </w:r>
      <w:r>
        <w:rPr>
          <w:b/>
          <w:bCs/>
          <w:color w:val="000000"/>
          <w:spacing w:val="0"/>
          <w:w w:val="100"/>
          <w:position w:val="0"/>
          <w:shd w:val="clear" w:color="auto" w:fill="auto"/>
          <w:lang w:val="ru-RU" w:eastAsia="ru-RU" w:bidi="ru-RU"/>
        </w:rPr>
        <w:t>обоснованной в части описания объекта закупки с нарушением требований Закона о контрактной системе.</w:t>
      </w:r>
    </w:p>
    <w:p>
      <w:pPr>
        <w:pStyle w:val="Style15"/>
        <w:keepNext w:val="0"/>
        <w:keepLines w:val="0"/>
        <w:widowControl w:val="0"/>
        <w:numPr>
          <w:ilvl w:val="0"/>
          <w:numId w:val="15"/>
        </w:numPr>
        <w:shd w:val="clear" w:color="auto" w:fill="auto"/>
        <w:tabs>
          <w:tab w:pos="1641" w:val="left"/>
        </w:tabs>
        <w:bidi w:val="0"/>
        <w:spacing w:before="0" w:after="0" w:line="240" w:lineRule="auto"/>
        <w:ind w:left="220" w:right="0" w:firstLine="700"/>
        <w:jc w:val="both"/>
      </w:pPr>
      <w:r>
        <w:rPr>
          <w:color w:val="000000"/>
          <w:spacing w:val="0"/>
          <w:w w:val="100"/>
          <w:position w:val="0"/>
          <w:shd w:val="clear" w:color="auto" w:fill="auto"/>
          <w:lang w:val="ru-RU" w:eastAsia="ru-RU" w:bidi="ru-RU"/>
        </w:rPr>
        <w:t>Признать заказчика нарушившим требования пп. «в» п. 3 ч. 12 ст. 93, п. 1 ч. 1 ст. 33 Закона о контрактной системе.</w:t>
      </w:r>
    </w:p>
    <w:p>
      <w:pPr>
        <w:pStyle w:val="Style15"/>
        <w:keepNext w:val="0"/>
        <w:keepLines w:val="0"/>
        <w:widowControl w:val="0"/>
        <w:numPr>
          <w:ilvl w:val="0"/>
          <w:numId w:val="15"/>
        </w:numPr>
        <w:shd w:val="clear" w:color="auto" w:fill="auto"/>
        <w:tabs>
          <w:tab w:pos="2341" w:val="left"/>
        </w:tabs>
        <w:bidi w:val="0"/>
        <w:spacing w:before="0" w:after="0" w:line="240" w:lineRule="auto"/>
        <w:ind w:left="0" w:right="0" w:firstLine="920"/>
        <w:jc w:val="both"/>
      </w:pPr>
      <w:r>
        <w:rPr>
          <w:color w:val="000000"/>
          <w:spacing w:val="0"/>
          <w:w w:val="100"/>
          <w:position w:val="0"/>
          <w:shd w:val="clear" w:color="auto" w:fill="auto"/>
          <w:lang w:val="ru-RU" w:eastAsia="ru-RU" w:bidi="ru-RU"/>
        </w:rPr>
        <w:t>Предписание не выдавать.</w:t>
      </w:r>
      <w:r>
        <w:br w:type="page"/>
      </w:r>
    </w:p>
    <w:p>
      <w:pPr>
        <w:pStyle w:val="Style15"/>
        <w:keepNext w:val="0"/>
        <w:keepLines w:val="0"/>
        <w:widowControl w:val="0"/>
        <w:numPr>
          <w:ilvl w:val="0"/>
          <w:numId w:val="15"/>
        </w:numPr>
        <w:shd w:val="clear" w:color="auto" w:fill="auto"/>
        <w:tabs>
          <w:tab w:pos="142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Передать жалобу ООО «Амур-центр» в орган внутреннего государственного (муниципального) финансового контроля в части довода о нарушении заказчиком при обосновании начальной максимальной цены контакта.</w:t>
      </w:r>
    </w:p>
    <w:p>
      <w:pPr>
        <w:pStyle w:val="Style15"/>
        <w:keepNext w:val="0"/>
        <w:keepLines w:val="0"/>
        <w:widowControl w:val="0"/>
        <w:numPr>
          <w:ilvl w:val="0"/>
          <w:numId w:val="15"/>
        </w:numPr>
        <w:shd w:val="clear" w:color="auto" w:fill="auto"/>
        <w:tabs>
          <w:tab w:pos="1421"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Передать материалы дела уполномоченному должностному лицу для решения вопроса о возбуждении дела об административном правонарушении.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pPr>
      <w:r>
        <mc:AlternateContent>
          <mc:Choice Requires="wps">
            <w:drawing>
              <wp:anchor distT="266700" distB="375285" distL="0" distR="0" simplePos="0" relativeHeight="125829378" behindDoc="0" locked="0" layoutInCell="1" allowOverlap="1">
                <wp:simplePos x="0" y="0"/>
                <wp:positionH relativeFrom="page">
                  <wp:posOffset>719455</wp:posOffset>
                </wp:positionH>
                <wp:positionV relativeFrom="paragraph">
                  <wp:posOffset>266700</wp:posOffset>
                </wp:positionV>
                <wp:extent cx="1828800" cy="252730"/>
                <wp:wrapTopAndBottom/>
                <wp:docPr id="5" name="Shape 5"/>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6.649999999999999pt;margin-top:21.pt;width:144.pt;height:19.900000000000002pt;z-index:-125829375;mso-wrap-distance-left:0;mso-wrap-distance-top:21.pt;mso-wrap-distance-right:0;mso-wrap-distance-bottom:29.5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339725" distB="158750" distL="0" distR="1789430" simplePos="0" relativeHeight="125829380" behindDoc="0" locked="0" layoutInCell="1" allowOverlap="1">
            <wp:simplePos x="0" y="0"/>
            <wp:positionH relativeFrom="page">
              <wp:posOffset>2648585</wp:posOffset>
            </wp:positionH>
            <wp:positionV relativeFrom="paragraph">
              <wp:posOffset>339725</wp:posOffset>
            </wp:positionV>
            <wp:extent cx="347345" cy="39624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4734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3056890</wp:posOffset>
                </wp:positionH>
                <wp:positionV relativeFrom="paragraph">
                  <wp:posOffset>431165</wp:posOffset>
                </wp:positionV>
                <wp:extent cx="1725295" cy="255905"/>
                <wp:wrapNone/>
                <wp:docPr id="9" name="Shape 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3F3F3F"/>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40.70000000000002pt;margin-top:33.950000000000003pt;width:135.84999999999999pt;height:20.15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3F3F3F"/>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745490" distB="51435" distL="0" distR="0" simplePos="0" relativeHeight="125829381" behindDoc="0" locked="0" layoutInCell="1" allowOverlap="1">
                <wp:simplePos x="0" y="0"/>
                <wp:positionH relativeFrom="page">
                  <wp:posOffset>3103245</wp:posOffset>
                </wp:positionH>
                <wp:positionV relativeFrom="paragraph">
                  <wp:posOffset>745490</wp:posOffset>
                </wp:positionV>
                <wp:extent cx="1276985" cy="97790"/>
                <wp:wrapTopAndBottom/>
                <wp:docPr id="11" name="Shape 11"/>
                <a:graphic xmlns:a="http://schemas.openxmlformats.org/drawingml/2006/main">
                  <a:graphicData uri="http://schemas.microsoft.com/office/word/2010/wordprocessingShape">
                    <wps:wsp>
                      <wps:cNvSpPr txBox="1"/>
                      <wps:spPr>
                        <a:xfrm>
                          <a:ext cx="1276985" cy="97790"/>
                        </a:xfrm>
                        <a:prstGeom prst="rect"/>
                        <a:noFill/>
                      </wps:spPr>
                      <wps:txbx>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wps:txbx>
                      <wps:bodyPr wrap="none" lIns="0" tIns="0" rIns="0" bIns="0">
                        <a:noAutoFit/>
                      </wps:bodyPr>
                    </wps:wsp>
                  </a:graphicData>
                </a:graphic>
              </wp:anchor>
            </w:drawing>
          </mc:Choice>
          <mc:Fallback>
            <w:pict>
              <v:shape id="_x0000_s1037" type="#_x0000_t202" style="position:absolute;margin-left:244.34999999999999pt;margin-top:58.700000000000003pt;width:100.55pt;height:7.7000000000000002pt;z-index:-125829372;mso-wrap-distance-left:0;mso-wrap-distance-top:58.700000000000003pt;mso-wrap-distance-right:0;mso-wrap-distance-bottom:4.0499999999999998pt;mso-position-horizontal-relative:page" filled="f" stroked="f">
                <v:textbox inset="0,0,0,0">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v:textbox>
                <w10:wrap type="topAndBottom" anchorx="page"/>
              </v:shape>
            </w:pict>
          </mc:Fallback>
        </mc:AlternateContent>
      </w:r>
      <w:r>
        <mc:AlternateContent>
          <mc:Choice Requires="wps">
            <w:drawing>
              <wp:anchor distT="690245" distB="0" distL="0" distR="0" simplePos="0" relativeHeight="125829383" behindDoc="0" locked="0" layoutInCell="1" allowOverlap="1">
                <wp:simplePos x="0" y="0"/>
                <wp:positionH relativeFrom="page">
                  <wp:posOffset>6044565</wp:posOffset>
                </wp:positionH>
                <wp:positionV relativeFrom="paragraph">
                  <wp:posOffset>690245</wp:posOffset>
                </wp:positionV>
                <wp:extent cx="1124585" cy="204470"/>
                <wp:wrapTopAndBottom/>
                <wp:docPr id="13" name="Shape 13"/>
                <a:graphic xmlns:a="http://schemas.openxmlformats.org/drawingml/2006/main">
                  <a:graphicData uri="http://schemas.microsoft.com/office/word/2010/wordprocessingShape">
                    <wps:wsp>
                      <wps:cNvSpPr txBox="1"/>
                      <wps:spPr>
                        <a:xfrm>
                          <a:ext cx="1124585" cy="20447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Л.А. Ильченко</w:t>
                            </w:r>
                          </w:p>
                        </w:txbxContent>
                      </wps:txbx>
                      <wps:bodyPr wrap="none" lIns="0" tIns="0" rIns="0" bIns="0">
                        <a:noAutoFit/>
                      </wps:bodyPr>
                    </wps:wsp>
                  </a:graphicData>
                </a:graphic>
              </wp:anchor>
            </w:drawing>
          </mc:Choice>
          <mc:Fallback>
            <w:pict>
              <v:shape id="_x0000_s1039" type="#_x0000_t202" style="position:absolute;margin-left:475.94999999999999pt;margin-top:54.350000000000001pt;width:88.549999999999997pt;height:16.100000000000001pt;z-index:-125829370;mso-wrap-distance-left:0;mso-wrap-distance-top:54.350000000000001pt;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Л.А. Ильченко</w:t>
                      </w:r>
                    </w:p>
                  </w:txbxContent>
                </v:textbox>
                <w10:wrap type="topAndBottom" anchorx="page"/>
              </v:shape>
            </w:pict>
          </mc:Fallback>
        </mc:AlternateContent>
      </w:r>
    </w:p>
    <w:p>
      <w:pPr>
        <w:widowControl w:val="0"/>
        <w:spacing w:line="1" w:lineRule="exact"/>
      </w:pPr>
      <w:r>
        <mc:AlternateContent>
          <mc:Choice Requires="wps">
            <w:drawing>
              <wp:anchor distT="52070" distB="6350" distL="0" distR="0" simplePos="0" relativeHeight="125829385" behindDoc="0" locked="0" layoutInCell="1" allowOverlap="1">
                <wp:simplePos x="0" y="0"/>
                <wp:positionH relativeFrom="page">
                  <wp:posOffset>719455</wp:posOffset>
                </wp:positionH>
                <wp:positionV relativeFrom="paragraph">
                  <wp:posOffset>52070</wp:posOffset>
                </wp:positionV>
                <wp:extent cx="1341120" cy="252730"/>
                <wp:wrapTopAndBottom/>
                <wp:docPr id="15" name="Shape 15"/>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1" type="#_x0000_t202" style="position:absolute;margin-left:56.649999999999999pt;margin-top:4.0999999999999996pt;width:105.60000000000001pt;height:19.900000000000002pt;z-index:-125829368;mso-wrap-distance-left:0;mso-wrap-distance-top:4.0999999999999996pt;mso-wrap-distance-right:0;mso-wrap-distance-bottom:0.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xbxContent>
                </v:textbox>
                <w10:wrap type="topAndBottom" anchorx="page"/>
              </v:shape>
            </w:pict>
          </mc:Fallback>
        </mc:AlternateContent>
      </w:r>
      <w:r>
        <mc:AlternateContent>
          <mc:Choice Requires="wps">
            <w:drawing>
              <wp:anchor distT="0" distB="0" distL="0" distR="0" simplePos="0" relativeHeight="125829387" behindDoc="0" locked="0" layoutInCell="1" allowOverlap="1">
                <wp:simplePos x="0" y="0"/>
                <wp:positionH relativeFrom="page">
                  <wp:posOffset>2654935</wp:posOffset>
                </wp:positionH>
                <wp:positionV relativeFrom="paragraph">
                  <wp:posOffset>0</wp:posOffset>
                </wp:positionV>
                <wp:extent cx="2096770" cy="311150"/>
                <wp:wrapTopAndBottom/>
                <wp:docPr id="17" name="Shape 17"/>
                <a:graphic xmlns:a="http://schemas.openxmlformats.org/drawingml/2006/main">
                  <a:graphicData uri="http://schemas.microsoft.com/office/word/2010/wordprocessingShape">
                    <wps:wsp>
                      <wps:cNvSpPr txBox="1"/>
                      <wps:spPr>
                        <a:xfrm>
                          <a:ext cx="2096770" cy="311150"/>
                        </a:xfrm>
                        <a:prstGeom prst="rect"/>
                        <a:noFill/>
                      </wps:spPr>
                      <wps:txbx>
                        <w:txbxContent>
                          <w:p>
                            <w:pPr>
                              <w:pStyle w:val="Style22"/>
                              <w:keepNext w:val="0"/>
                              <w:keepLines w:val="0"/>
                              <w:widowControl w:val="0"/>
                              <w:shd w:val="clear" w:color="auto" w:fill="auto"/>
                              <w:bidi w:val="0"/>
                              <w:spacing w:before="0" w:after="0" w:line="276" w:lineRule="auto"/>
                              <w:ind w:left="0" w:right="0" w:firstLine="0"/>
                              <w:jc w:val="left"/>
                            </w:pPr>
                            <w:r>
                              <w:rPr>
                                <w:color w:val="686868"/>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Ильченко Лариса Александровна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53В90А0421ЕЕ18С746В01 </w:t>
                            </w:r>
                            <w:r>
                              <w:rPr>
                                <w:spacing w:val="0"/>
                                <w:w w:val="100"/>
                                <w:position w:val="0"/>
                                <w:shd w:val="clear" w:color="auto" w:fill="auto"/>
                                <w:lang w:val="ru-RU" w:eastAsia="ru-RU" w:bidi="ru-RU"/>
                              </w:rPr>
                              <w:t>Р823Е3291СЗ</w:t>
                            </w:r>
                          </w:p>
                          <w:p>
                            <w:pPr>
                              <w:pStyle w:val="Style22"/>
                              <w:keepNext w:val="0"/>
                              <w:keepLines w:val="0"/>
                              <w:widowControl w:val="0"/>
                              <w:pBdr>
                                <w:bottom w:val="single" w:sz="4" w:space="0" w:color="auto"/>
                              </w:pBdr>
                              <w:shd w:val="clear" w:color="auto" w:fill="auto"/>
                              <w:bidi w:val="0"/>
                              <w:spacing w:before="0" w:after="0" w:line="276" w:lineRule="auto"/>
                              <w:ind w:left="0" w:right="0" w:firstLine="0"/>
                              <w:jc w:val="left"/>
                            </w:pPr>
                            <w:r>
                              <w:rPr>
                                <w:color w:val="686868"/>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05.09.2024 </w:t>
                            </w:r>
                            <w:r>
                              <w:rPr>
                                <w:spacing w:val="0"/>
                                <w:w w:val="100"/>
                                <w:position w:val="0"/>
                                <w:shd w:val="clear" w:color="auto" w:fill="auto"/>
                                <w:lang w:val="ru-RU" w:eastAsia="ru-RU" w:bidi="ru-RU"/>
                              </w:rPr>
                              <w:t xml:space="preserve">по </w:t>
                            </w:r>
                            <w:r>
                              <w:rPr>
                                <w:color w:val="686868"/>
                                <w:spacing w:val="0"/>
                                <w:w w:val="100"/>
                                <w:position w:val="0"/>
                                <w:shd w:val="clear" w:color="auto" w:fill="auto"/>
                                <w:lang w:val="ru-RU" w:eastAsia="ru-RU" w:bidi="ru-RU"/>
                              </w:rPr>
                              <w:t>29.11.2025</w:t>
                            </w:r>
                          </w:p>
                        </w:txbxContent>
                      </wps:txbx>
                      <wps:bodyPr lIns="0" tIns="0" rIns="0" bIns="0">
                        <a:noAutoFit/>
                      </wps:bodyPr>
                    </wps:wsp>
                  </a:graphicData>
                </a:graphic>
              </wp:anchor>
            </w:drawing>
          </mc:Choice>
          <mc:Fallback>
            <w:pict>
              <v:shape id="_x0000_s1043" type="#_x0000_t202" style="position:absolute;margin-left:209.05000000000001pt;margin-top:0;width:165.09999999999999pt;height:24.5pt;z-index:-125829366;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76" w:lineRule="auto"/>
                        <w:ind w:left="0" w:right="0" w:firstLine="0"/>
                        <w:jc w:val="left"/>
                      </w:pPr>
                      <w:r>
                        <w:rPr>
                          <w:color w:val="686868"/>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Ильченко Лариса Александровна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53В90А0421ЕЕ18С746В01 </w:t>
                      </w:r>
                      <w:r>
                        <w:rPr>
                          <w:spacing w:val="0"/>
                          <w:w w:val="100"/>
                          <w:position w:val="0"/>
                          <w:shd w:val="clear" w:color="auto" w:fill="auto"/>
                          <w:lang w:val="ru-RU" w:eastAsia="ru-RU" w:bidi="ru-RU"/>
                        </w:rPr>
                        <w:t>Р823Е3291СЗ</w:t>
                      </w:r>
                    </w:p>
                    <w:p>
                      <w:pPr>
                        <w:pStyle w:val="Style22"/>
                        <w:keepNext w:val="0"/>
                        <w:keepLines w:val="0"/>
                        <w:widowControl w:val="0"/>
                        <w:pBdr>
                          <w:bottom w:val="single" w:sz="4" w:space="0" w:color="auto"/>
                        </w:pBdr>
                        <w:shd w:val="clear" w:color="auto" w:fill="auto"/>
                        <w:bidi w:val="0"/>
                        <w:spacing w:before="0" w:after="0" w:line="276" w:lineRule="auto"/>
                        <w:ind w:left="0" w:right="0" w:firstLine="0"/>
                        <w:jc w:val="left"/>
                      </w:pPr>
                      <w:r>
                        <w:rPr>
                          <w:color w:val="686868"/>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05.09.2024 </w:t>
                      </w:r>
                      <w:r>
                        <w:rPr>
                          <w:spacing w:val="0"/>
                          <w:w w:val="100"/>
                          <w:position w:val="0"/>
                          <w:shd w:val="clear" w:color="auto" w:fill="auto"/>
                          <w:lang w:val="ru-RU" w:eastAsia="ru-RU" w:bidi="ru-RU"/>
                        </w:rPr>
                        <w:t xml:space="preserve">по </w:t>
                      </w:r>
                      <w:r>
                        <w:rPr>
                          <w:color w:val="686868"/>
                          <w:spacing w:val="0"/>
                          <w:w w:val="100"/>
                          <w:position w:val="0"/>
                          <w:shd w:val="clear" w:color="auto" w:fill="auto"/>
                          <w:lang w:val="ru-RU" w:eastAsia="ru-RU" w:bidi="ru-RU"/>
                        </w:rPr>
                        <w:t>29.11.2025</w:t>
                      </w:r>
                    </w:p>
                  </w:txbxContent>
                </v:textbox>
                <w10:wrap type="topAndBottom" anchorx="page"/>
              </v:shape>
            </w:pict>
          </mc:Fallback>
        </mc:AlternateContent>
      </w:r>
    </w:p>
    <w:p>
      <w:pPr>
        <w:widowControl w:val="0"/>
        <w:spacing w:line="1" w:lineRule="exact"/>
        <w:sectPr>
          <w:footnotePr>
            <w:pos w:val="pageBottom"/>
            <w:numFmt w:val="decimal"/>
            <w:numRestart w:val="continuous"/>
          </w:footnotePr>
          <w:type w:val="continuous"/>
          <w:pgSz w:w="11900" w:h="16840"/>
          <w:pgMar w:top="1000" w:right="461" w:bottom="1182" w:left="979" w:header="0" w:footer="3" w:gutter="0"/>
          <w:cols w:space="720"/>
          <w:noEndnote/>
          <w:rtlGutter w:val="0"/>
          <w:docGrid w:linePitch="360"/>
        </w:sectPr>
      </w:pPr>
      <w:r>
        <w:drawing>
          <wp:anchor distT="50800" distB="158115" distL="0" distR="1789430" simplePos="0" relativeHeight="125829389" behindDoc="0" locked="0" layoutInCell="1" allowOverlap="1">
            <wp:simplePos x="0" y="0"/>
            <wp:positionH relativeFrom="page">
              <wp:posOffset>2648585</wp:posOffset>
            </wp:positionH>
            <wp:positionV relativeFrom="paragraph">
              <wp:posOffset>50800</wp:posOffset>
            </wp:positionV>
            <wp:extent cx="347345" cy="43307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9"/>
                    <a:stretch/>
                  </pic:blipFill>
                  <pic:spPr>
                    <a:xfrm>
                      <a:ext cx="347345" cy="4330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3056890</wp:posOffset>
                </wp:positionH>
                <wp:positionV relativeFrom="paragraph">
                  <wp:posOffset>179070</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0.70000000000002pt;margin-top:14.1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92760" distB="51435" distL="0" distR="0" simplePos="0" relativeHeight="125829390" behindDoc="0" locked="0" layoutInCell="1" allowOverlap="1">
                <wp:simplePos x="0" y="0"/>
                <wp:positionH relativeFrom="page">
                  <wp:posOffset>3102610</wp:posOffset>
                </wp:positionH>
                <wp:positionV relativeFrom="paragraph">
                  <wp:posOffset>492760</wp:posOffset>
                </wp:positionV>
                <wp:extent cx="1283335" cy="97790"/>
                <wp:wrapTopAndBottom/>
                <wp:docPr id="23" name="Shape 23"/>
                <a:graphic xmlns:a="http://schemas.openxmlformats.org/drawingml/2006/main">
                  <a:graphicData uri="http://schemas.microsoft.com/office/word/2010/wordprocessingShape">
                    <wps:wsp>
                      <wps:cNvSpPr txBox="1"/>
                      <wps:spPr>
                        <a:xfrm>
                          <a:ext cx="1283335" cy="97790"/>
                        </a:xfrm>
                        <a:prstGeom prst="rect"/>
                        <a:noFill/>
                      </wps:spPr>
                      <wps:txbx>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wps:txbx>
                      <wps:bodyPr wrap="none" lIns="0" tIns="0" rIns="0" bIns="0">
                        <a:noAutoFit/>
                      </wps:bodyPr>
                    </wps:wsp>
                  </a:graphicData>
                </a:graphic>
              </wp:anchor>
            </w:drawing>
          </mc:Choice>
          <mc:Fallback>
            <w:pict>
              <v:shape id="_x0000_s1049" type="#_x0000_t202" style="position:absolute;margin-left:244.30000000000001pt;margin-top:38.800000000000004pt;width:101.05pt;height:7.7000000000000002pt;z-index:-125829363;mso-wrap-distance-left:0;mso-wrap-distance-top:38.800000000000004pt;mso-wrap-distance-right:0;mso-wrap-distance-bottom:4.0499999999999998pt;mso-position-horizontal-relative:page" filled="f" stroked="f">
                <v:textbox inset="0,0,0,0">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v:textbox>
                <w10:wrap type="topAndBottom" anchorx="page"/>
              </v:shape>
            </w:pict>
          </mc:Fallback>
        </mc:AlternateContent>
      </w:r>
      <w:r>
        <mc:AlternateContent>
          <mc:Choice Requires="wps">
            <w:drawing>
              <wp:anchor distT="438150" distB="0" distL="0" distR="0" simplePos="0" relativeHeight="125829392" behindDoc="0" locked="0" layoutInCell="1" allowOverlap="1">
                <wp:simplePos x="0" y="0"/>
                <wp:positionH relativeFrom="page">
                  <wp:posOffset>5897880</wp:posOffset>
                </wp:positionH>
                <wp:positionV relativeFrom="paragraph">
                  <wp:posOffset>438150</wp:posOffset>
                </wp:positionV>
                <wp:extent cx="1276985" cy="204470"/>
                <wp:wrapTopAndBottom/>
                <wp:docPr id="25" name="Shape 25"/>
                <a:graphic xmlns:a="http://schemas.openxmlformats.org/drawingml/2006/main">
                  <a:graphicData uri="http://schemas.microsoft.com/office/word/2010/wordprocessingShape">
                    <wps:wsp>
                      <wps:cNvSpPr txBox="1"/>
                      <wps:spPr>
                        <a:xfrm>
                          <a:ext cx="1276985" cy="20447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А.А. Михайлова</w:t>
                            </w:r>
                          </w:p>
                        </w:txbxContent>
                      </wps:txbx>
                      <wps:bodyPr wrap="none" lIns="0" tIns="0" rIns="0" bIns="0">
                        <a:noAutoFit/>
                      </wps:bodyPr>
                    </wps:wsp>
                  </a:graphicData>
                </a:graphic>
              </wp:anchor>
            </w:drawing>
          </mc:Choice>
          <mc:Fallback>
            <w:pict>
              <v:shape id="_x0000_s1051" type="#_x0000_t202" style="position:absolute;margin-left:464.40000000000003pt;margin-top:34.5pt;width:100.55pt;height:16.100000000000001pt;z-index:-125829361;mso-wrap-distance-left:0;mso-wrap-distance-top:34.5pt;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А.А. Михайлова</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right="0" w:firstLine="0"/>
        <w:jc w:val="left"/>
        <w:rPr>
          <w:sz w:val="11"/>
          <w:szCs w:val="11"/>
        </w:rPr>
      </w:pPr>
      <w:r>
        <w:rPr>
          <w:color w:val="686868"/>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Михайлова Анастасия Александровна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00СЕ777383994ВЗВАО5949967ЕАВ12АЕОЕ</w:t>
      </w:r>
    </w:p>
    <w:p>
      <w:pPr>
        <w:pStyle w:val="Style22"/>
        <w:keepNext w:val="0"/>
        <w:keepLines w:val="0"/>
        <w:widowControl w:val="0"/>
        <w:shd w:val="clear" w:color="auto" w:fill="auto"/>
        <w:bidi w:val="0"/>
        <w:spacing w:before="0" w:after="920" w:line="240" w:lineRule="auto"/>
        <w:ind w:right="0" w:firstLine="0"/>
        <w:jc w:val="left"/>
      </w:pPr>
      <w:r>
        <w:drawing>
          <wp:anchor distT="0" distB="0" distL="114300" distR="1903730" simplePos="0" relativeHeight="125829394" behindDoc="0" locked="0" layoutInCell="1" allowOverlap="1">
            <wp:simplePos x="0" y="0"/>
            <wp:positionH relativeFrom="page">
              <wp:posOffset>2606040</wp:posOffset>
            </wp:positionH>
            <wp:positionV relativeFrom="paragraph">
              <wp:posOffset>304800</wp:posOffset>
            </wp:positionV>
            <wp:extent cx="389890" cy="57277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3102610</wp:posOffset>
                </wp:positionH>
                <wp:positionV relativeFrom="paragraph">
                  <wp:posOffset>740410</wp:posOffset>
                </wp:positionV>
                <wp:extent cx="1283335" cy="103505"/>
                <wp:wrapNone/>
                <wp:docPr id="29" name="Shape 2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w:t>
                            </w:r>
                            <w:r>
                              <w:rPr>
                                <w:rFonts w:ascii="Georgia" w:eastAsia="Georgia" w:hAnsi="Georgia" w:cs="Georgia"/>
                                <w:color w:val="FFFFFF"/>
                                <w:spacing w:val="0"/>
                                <w:w w:val="100"/>
                                <w:position w:val="0"/>
                                <w:shd w:val="clear" w:color="auto" w:fill="auto"/>
                                <w:lang w:val="ru-RU" w:eastAsia="ru-RU" w:bidi="ru-RU"/>
                              </w:rPr>
                              <w:t xml:space="preserve">СЕРТИФИКАТЕ </w:t>
                            </w:r>
                            <w:r>
                              <w:rPr>
                                <w:rFonts w:ascii="Georgia" w:eastAsia="Georgia" w:hAnsi="Georgia" w:cs="Georgia"/>
                                <w:color w:val="E8E8E8"/>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5" type="#_x0000_t202" style="position:absolute;margin-left:244.30000000000001pt;margin-top:58.300000000000004pt;width:101.05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w:t>
                      </w:r>
                      <w:r>
                        <w:rPr>
                          <w:rFonts w:ascii="Georgia" w:eastAsia="Georgia" w:hAnsi="Georgia" w:cs="Georgia"/>
                          <w:color w:val="FFFFFF"/>
                          <w:spacing w:val="0"/>
                          <w:w w:val="100"/>
                          <w:position w:val="0"/>
                          <w:shd w:val="clear" w:color="auto" w:fill="auto"/>
                          <w:lang w:val="ru-RU" w:eastAsia="ru-RU" w:bidi="ru-RU"/>
                        </w:rPr>
                        <w:t xml:space="preserve">СЕРТИФИКАТЕ </w:t>
                      </w:r>
                      <w:r>
                        <w:rPr>
                          <w:rFonts w:ascii="Georgia" w:eastAsia="Georgia" w:hAnsi="Georgia" w:cs="Georgia"/>
                          <w:color w:val="E8E8E8"/>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3056890</wp:posOffset>
                </wp:positionH>
                <wp:positionV relativeFrom="paragraph">
                  <wp:posOffset>429895</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0.70000000000002pt;margin-top:33.850000000000001pt;width:135.84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686868"/>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12.01.2024 </w:t>
      </w:r>
      <w:r>
        <w:rPr>
          <w:color w:val="000000"/>
          <w:spacing w:val="0"/>
          <w:w w:val="100"/>
          <w:position w:val="0"/>
          <w:shd w:val="clear" w:color="auto" w:fill="auto"/>
          <w:lang w:val="ru-RU" w:eastAsia="ru-RU" w:bidi="ru-RU"/>
        </w:rPr>
        <w:t xml:space="preserve">по </w:t>
      </w:r>
      <w:r>
        <w:rPr>
          <w:color w:val="686868"/>
          <w:spacing w:val="0"/>
          <w:w w:val="100"/>
          <w:position w:val="0"/>
          <w:shd w:val="clear" w:color="auto" w:fill="auto"/>
          <w:lang w:val="ru-RU" w:eastAsia="ru-RU" w:bidi="ru-RU"/>
        </w:rPr>
        <w:t>06.04.2025</w:t>
      </w:r>
    </w:p>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Е.Ю. Погиба</w:t>
      </w:r>
    </w:p>
    <w:p>
      <w:pPr>
        <w:pStyle w:val="Style22"/>
        <w:keepNext w:val="0"/>
        <w:keepLines w:val="0"/>
        <w:widowControl w:val="0"/>
        <w:shd w:val="clear" w:color="auto" w:fill="auto"/>
        <w:bidi w:val="0"/>
        <w:spacing w:before="0" w:after="0" w:line="240" w:lineRule="auto"/>
        <w:ind w:right="0" w:firstLine="0"/>
        <w:jc w:val="left"/>
        <w:rPr>
          <w:sz w:val="11"/>
          <w:szCs w:val="11"/>
        </w:rPr>
      </w:pPr>
      <w:r>
        <w:rPr>
          <w:color w:val="686868"/>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Погиба Елена Юрьевна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05527ВЗВЗЭ88ЕВ0ЭАО9СЕ0ЕОЕ72А0Е64</w:t>
      </w:r>
    </w:p>
    <w:p>
      <w:pPr>
        <w:pStyle w:val="Style22"/>
        <w:keepNext w:val="0"/>
        <w:keepLines w:val="0"/>
        <w:widowControl w:val="0"/>
        <w:shd w:val="clear" w:color="auto" w:fill="auto"/>
        <w:bidi w:val="0"/>
        <w:spacing w:before="0" w:after="6020" w:line="240" w:lineRule="auto"/>
        <w:ind w:right="0" w:firstLine="0"/>
        <w:jc w:val="left"/>
      </w:pPr>
      <w:r>
        <w:rPr>
          <w:color w:val="686868"/>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03.09.2024 по </w:t>
      </w:r>
      <w:r>
        <w:rPr>
          <w:color w:val="686868"/>
          <w:spacing w:val="0"/>
          <w:w w:val="100"/>
          <w:position w:val="0"/>
          <w:shd w:val="clear" w:color="auto" w:fill="auto"/>
          <w:lang w:val="ru-RU" w:eastAsia="ru-RU" w:bidi="ru-RU"/>
        </w:rPr>
        <w:t>27.11.2025</w:t>
      </w:r>
    </w:p>
    <w:p>
      <w:pPr>
        <w:pStyle w:val="Style7"/>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Исп.Михайлова А.А. тел.7 (4212) 30-68-93</w:t>
      </w:r>
    </w:p>
    <w:sectPr>
      <w:footnotePr>
        <w:pos w:val="pageBottom"/>
        <w:numFmt w:val="decimal"/>
        <w:numRestart w:val="continuous"/>
      </w:footnotePr>
      <w:type w:val="continuous"/>
      <w:pgSz w:w="11900" w:h="16840"/>
      <w:pgMar w:top="1110" w:right="53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708660</wp:posOffset>
              </wp:positionH>
              <wp:positionV relativeFrom="page">
                <wp:posOffset>10006330</wp:posOffset>
              </wp:positionV>
              <wp:extent cx="6470650" cy="106680"/>
              <wp:wrapNone/>
              <wp:docPr id="1" name="Shape 1"/>
              <a:graphic xmlns:a="http://schemas.openxmlformats.org/drawingml/2006/main">
                <a:graphicData uri="http://schemas.microsoft.com/office/word/2010/wordprocessingShape">
                  <wps:wsp>
                    <wps:cNvSpPr txBox="1"/>
                    <wps:spPr>
                      <a:xfrm>
                        <a:ext cx="6470650" cy="106680"/>
                      </a:xfrm>
                      <a:prstGeom prst="rect"/>
                      <a:noFill/>
                    </wps:spPr>
                    <wps:txbx>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2024-12133</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5.800000000000004pt;margin-top:787.89999999999998pt;width:509.5pt;height:8.40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2024-12133</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6280" cy="100330"/>
              <wp:wrapNone/>
              <wp:docPr id="3" name="Shape 3"/>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2024-12133</w:t>
                          </w:r>
                        </w:p>
                      </w:txbxContent>
                    </wps:txbx>
                    <wps:bodyPr wrap="none" lIns="0" tIns="0" rIns="0" bIns="0">
                      <a:spAutoFit/>
                    </wps:bodyPr>
                  </wps:wsp>
                </a:graphicData>
              </a:graphic>
            </wp:anchor>
          </w:drawing>
        </mc:Choice>
        <mc:Fallback>
          <w:pict>
            <v:shape id="_x0000_s1029" type="#_x0000_t202" style="position:absolute;margin-left:57.pt;margin-top:776.20000000000005pt;width:56.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2024-12133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6619B"/>
      <w:sz w:val="17"/>
      <w:szCs w:val="17"/>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Другое_"/>
    <w:basedOn w:val="DefaultParagraphFont"/>
    <w:link w:val="Style7"/>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3F3F3F"/>
      <w:sz w:val="12"/>
      <w:szCs w:val="12"/>
      <w:u w:val="none"/>
    </w:rPr>
  </w:style>
  <w:style w:type="character" w:customStyle="1" w:styleId="CharStyle29">
    <w:name w:val="Заголовок №1_"/>
    <w:basedOn w:val="DefaultParagraphFont"/>
    <w:link w:val="Style28"/>
    <w:rPr>
      <w:rFonts w:ascii="Times New Roman" w:eastAsia="Times New Roman" w:hAnsi="Times New Roman" w:cs="Times New Roman"/>
      <w:b/>
      <w:bCs/>
      <w:i w:val="0"/>
      <w:iCs w:val="0"/>
      <w:smallCaps w:val="0"/>
      <w:strike w:val="0"/>
      <w:sz w:val="26"/>
      <w:szCs w:val="26"/>
      <w:u w:val="none"/>
    </w:rPr>
  </w:style>
  <w:style w:type="character" w:customStyle="1" w:styleId="CharStyle33">
    <w:name w:val="Подпись к таблице_"/>
    <w:basedOn w:val="DefaultParagraphFont"/>
    <w:link w:val="Style32"/>
    <w:rPr>
      <w:rFonts w:ascii="Times New Roman" w:eastAsia="Times New Roman" w:hAnsi="Times New Roman" w:cs="Times New Roman"/>
      <w:b w:val="0"/>
      <w:bCs w:val="0"/>
      <w:i w:val="0"/>
      <w:iCs w:val="0"/>
      <w:smallCaps w:val="0"/>
      <w:strike w:val="0"/>
      <w:sz w:val="26"/>
      <w:szCs w:val="26"/>
      <w:u w:val="none"/>
    </w:rPr>
  </w:style>
  <w:style w:type="paragraph" w:customStyle="1" w:styleId="Style2">
    <w:name w:val="Основной текст (3)"/>
    <w:basedOn w:val="Normal"/>
    <w:link w:val="CharStyle3"/>
    <w:pPr>
      <w:widowControl w:val="0"/>
      <w:shd w:val="clear" w:color="auto" w:fill="auto"/>
      <w:spacing w:after="140" w:line="288" w:lineRule="auto"/>
      <w:jc w:val="center"/>
    </w:pPr>
    <w:rPr>
      <w:rFonts w:ascii="Times New Roman" w:eastAsia="Times New Roman" w:hAnsi="Times New Roman" w:cs="Times New Roman"/>
      <w:b/>
      <w:bCs/>
      <w:i w:val="0"/>
      <w:iCs w:val="0"/>
      <w:smallCaps w:val="0"/>
      <w:strike w:val="0"/>
      <w:color w:val="46619B"/>
      <w:sz w:val="17"/>
      <w:szCs w:val="17"/>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Другое"/>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22">
    <w:name w:val="Основной текст (2)"/>
    <w:basedOn w:val="Normal"/>
    <w:link w:val="CharStyle23"/>
    <w:pPr>
      <w:widowControl w:val="0"/>
      <w:shd w:val="clear" w:color="auto" w:fill="auto"/>
      <w:ind w:left="3100"/>
    </w:pPr>
    <w:rPr>
      <w:rFonts w:ascii="Arial" w:eastAsia="Arial" w:hAnsi="Arial" w:cs="Arial"/>
      <w:b w:val="0"/>
      <w:bCs w:val="0"/>
      <w:i w:val="0"/>
      <w:iCs w:val="0"/>
      <w:smallCaps w:val="0"/>
      <w:strike w:val="0"/>
      <w:color w:val="3F3F3F"/>
      <w:sz w:val="12"/>
      <w:szCs w:val="12"/>
      <w:u w:val="none"/>
    </w:rPr>
  </w:style>
  <w:style w:type="paragraph" w:customStyle="1" w:styleId="Style28">
    <w:name w:val="Заголовок №1"/>
    <w:basedOn w:val="Normal"/>
    <w:link w:val="CharStyle29"/>
    <w:pPr>
      <w:widowControl w:val="0"/>
      <w:shd w:val="clear" w:color="auto" w:fill="auto"/>
      <w:jc w:val="center"/>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32">
    <w:name w:val="Подпись к таблице"/>
    <w:basedOn w:val="Normal"/>
    <w:link w:val="CharStyle33"/>
    <w:pPr>
      <w:widowControl w:val="0"/>
      <w:shd w:val="clear" w:color="auto" w:fill="auto"/>
      <w:ind w:firstLine="720"/>
    </w:pPr>
    <w:rPr>
      <w:rFonts w:ascii="Times New Roman" w:eastAsia="Times New Roman" w:hAnsi="Times New Roman" w:cs="Times New Roman"/>
      <w:b w:val="0"/>
      <w:bCs w:val="0"/>
      <w:i w:val="0"/>
      <w:iCs w:val="0"/>
      <w:smallCaps w:val="0"/>
      <w:strike w:val="0"/>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