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1о24й,Тах.ао\'.ги</w:t>
      </w:r>
    </w:p>
    <w:p>
      <w:pPr>
        <w:pStyle w:val="Style8"/>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both"/>
        <w:rPr>
          <w:sz w:val="20"/>
          <w:szCs w:val="20"/>
        </w:rPr>
      </w:pPr>
      <w:r>
        <w:rPr>
          <w:b w:val="0"/>
          <w:bCs w:val="0"/>
          <w:spacing w:val="0"/>
          <w:w w:val="100"/>
          <w:position w:val="0"/>
          <w:sz w:val="20"/>
          <w:szCs w:val="20"/>
          <w:shd w:val="clear" w:color="auto" w:fill="auto"/>
          <w:lang w:val="ru-RU" w:eastAsia="ru-RU" w:bidi="ru-RU"/>
        </w:rPr>
        <w:tab/>
        <w:t xml:space="preserve"> №</w:t>
        <w:tab/>
      </w:r>
    </w:p>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52" w:lineRule="auto"/>
        <w:ind w:left="0" w:right="0" w:firstLine="0"/>
        <w:jc w:val="left"/>
      </w:pPr>
      <w:r>
        <w:rPr>
          <w:color w:val="000000"/>
          <w:spacing w:val="0"/>
          <w:w w:val="100"/>
          <w:position w:val="0"/>
          <w:sz w:val="24"/>
          <w:szCs w:val="24"/>
          <w:shd w:val="clear" w:color="auto" w:fill="auto"/>
          <w:lang w:val="ru-RU" w:eastAsia="ru-RU" w:bidi="ru-RU"/>
        </w:rPr>
        <w:t>КГБУЗ «Большеулуйская районная больница»</w:t>
      </w:r>
    </w:p>
    <w:p>
      <w:pPr>
        <w:pStyle w:val="Style13"/>
        <w:keepNext w:val="0"/>
        <w:keepLines w:val="0"/>
        <w:widowControl w:val="0"/>
        <w:shd w:val="clear" w:color="auto" w:fill="auto"/>
        <w:bidi w:val="0"/>
        <w:spacing w:before="0" w:after="0" w:line="252" w:lineRule="auto"/>
        <w:ind w:left="0" w:right="0" w:firstLine="0"/>
        <w:jc w:val="left"/>
      </w:pPr>
      <w:r>
        <w:rPr>
          <w:color w:val="000000"/>
          <w:spacing w:val="0"/>
          <w:w w:val="100"/>
          <w:position w:val="0"/>
          <w:sz w:val="24"/>
          <w:szCs w:val="24"/>
          <w:shd w:val="clear" w:color="auto" w:fill="auto"/>
          <w:lang w:val="ru-RU" w:eastAsia="ru-RU" w:bidi="ru-RU"/>
        </w:rPr>
        <w:t>ул. Медицинская, д. 1, с. Большой Улуй, Красноярский край, 662110 и1ш-те^@кгазтай.ш;</w:t>
      </w:r>
    </w:p>
    <w:p>
      <w:pPr>
        <w:pStyle w:val="Style13"/>
        <w:keepNext w:val="0"/>
        <w:keepLines w:val="0"/>
        <w:widowControl w:val="0"/>
        <w:shd w:val="clear" w:color="auto" w:fill="auto"/>
        <w:bidi w:val="0"/>
        <w:spacing w:before="0" w:after="0" w:line="252" w:lineRule="auto"/>
        <w:ind w:left="0" w:right="0" w:firstLine="0"/>
        <w:jc w:val="left"/>
      </w:pPr>
      <w:r>
        <w:rPr>
          <w:color w:val="000000"/>
          <w:spacing w:val="0"/>
          <w:w w:val="100"/>
          <w:position w:val="0"/>
          <w:sz w:val="24"/>
          <w:szCs w:val="24"/>
          <w:shd w:val="clear" w:color="auto" w:fill="auto"/>
          <w:lang w:val="ru-RU" w:eastAsia="ru-RU" w:bidi="ru-RU"/>
        </w:rPr>
        <w:t>иг-гЬ@Ьк.ш;</w:t>
      </w:r>
    </w:p>
    <w:p>
      <w:pPr>
        <w:pStyle w:val="Style13"/>
        <w:keepNext w:val="0"/>
        <w:keepLines w:val="0"/>
        <w:widowControl w:val="0"/>
        <w:shd w:val="clear" w:color="auto" w:fill="auto"/>
        <w:bidi w:val="0"/>
        <w:spacing w:before="0" w:after="240" w:line="252" w:lineRule="auto"/>
        <w:ind w:left="0" w:right="0" w:firstLine="0"/>
        <w:jc w:val="left"/>
      </w:pPr>
      <w:r>
        <w:rPr>
          <w:color w:val="000000"/>
          <w:spacing w:val="0"/>
          <w:w w:val="100"/>
          <w:position w:val="0"/>
          <w:sz w:val="24"/>
          <w:szCs w:val="24"/>
          <w:shd w:val="clear" w:color="auto" w:fill="auto"/>
          <w:lang w:val="ru-RU" w:eastAsia="ru-RU" w:bidi="ru-RU"/>
        </w:rPr>
        <w:t>хак-гЬ@тай.ш</w:t>
      </w:r>
    </w:p>
    <w:p>
      <w:pPr>
        <w:pStyle w:val="Style13"/>
        <w:keepNext w:val="0"/>
        <w:keepLines w:val="0"/>
        <w:widowControl w:val="0"/>
        <w:shd w:val="clear" w:color="auto" w:fill="auto"/>
        <w:bidi w:val="0"/>
        <w:spacing w:before="0" w:after="0" w:line="252" w:lineRule="auto"/>
        <w:ind w:left="0" w:right="0" w:firstLine="0"/>
        <w:jc w:val="left"/>
      </w:pPr>
      <w:r>
        <w:rPr>
          <w:color w:val="000000"/>
          <w:spacing w:val="0"/>
          <w:w w:val="100"/>
          <w:position w:val="0"/>
          <w:sz w:val="24"/>
          <w:szCs w:val="24"/>
          <w:shd w:val="clear" w:color="auto" w:fill="auto"/>
          <w:lang w:val="ru-RU" w:eastAsia="ru-RU" w:bidi="ru-RU"/>
        </w:rPr>
        <w:t>ООО «Проект» ул. Ленина, д. 113, офис 303, г. Красноярск, 660017 паитк@НзЕш;</w:t>
      </w:r>
    </w:p>
    <w:p>
      <w:pPr>
        <w:pStyle w:val="Style13"/>
        <w:keepNext w:val="0"/>
        <w:keepLines w:val="0"/>
        <w:widowControl w:val="0"/>
        <w:shd w:val="clear" w:color="auto" w:fill="auto"/>
        <w:bidi w:val="0"/>
        <w:spacing w:before="0" w:after="240" w:line="252" w:lineRule="auto"/>
        <w:ind w:left="0" w:right="0" w:firstLine="0"/>
        <w:jc w:val="left"/>
      </w:pPr>
      <w:r>
        <w:rPr>
          <w:color w:val="000000"/>
          <w:spacing w:val="0"/>
          <w:w w:val="100"/>
          <w:position w:val="0"/>
          <w:sz w:val="24"/>
          <w:szCs w:val="24"/>
          <w:shd w:val="clear" w:color="auto" w:fill="auto"/>
          <w:lang w:val="ru-RU" w:eastAsia="ru-RU" w:bidi="ru-RU"/>
        </w:rPr>
        <w:t>8а1е8@а/1ти111-п1.г11</w:t>
      </w:r>
    </w:p>
    <w:p>
      <w:pPr>
        <w:pStyle w:val="Style13"/>
        <w:keepNext w:val="0"/>
        <w:keepLines w:val="0"/>
        <w:widowControl w:val="0"/>
        <w:shd w:val="clear" w:color="auto" w:fill="auto"/>
        <w:bidi w:val="0"/>
        <w:spacing w:before="0" w:after="0" w:line="252" w:lineRule="auto"/>
        <w:ind w:left="0" w:right="0" w:firstLine="0"/>
        <w:jc w:val="left"/>
      </w:pPr>
      <w:r>
        <w:rPr>
          <w:color w:val="000000"/>
          <w:spacing w:val="0"/>
          <w:w w:val="100"/>
          <w:position w:val="0"/>
          <w:sz w:val="24"/>
          <w:szCs w:val="24"/>
          <w:shd w:val="clear" w:color="auto" w:fill="auto"/>
          <w:lang w:val="ru-RU" w:eastAsia="ru-RU" w:bidi="ru-RU"/>
        </w:rPr>
        <w:t>ООО «РТС-тендер» наб. Тараса Шевченко, д. 23-А, г. Москва, 121151 ко@Н8-1еп^ег.ш;</w:t>
      </w:r>
    </w:p>
    <w:p>
      <w:pPr>
        <w:pStyle w:val="Style13"/>
        <w:keepNext w:val="0"/>
        <w:keepLines w:val="0"/>
        <w:widowControl w:val="0"/>
        <w:shd w:val="clear" w:color="auto" w:fill="auto"/>
        <w:bidi w:val="0"/>
        <w:spacing w:before="0" w:after="0" w:line="252" w:lineRule="auto"/>
        <w:ind w:left="0" w:right="0" w:firstLine="0"/>
        <w:jc w:val="left"/>
        <w:sectPr>
          <w:footerReference w:type="default" r:id="rId9"/>
          <w:footerReference w:type="first" r:id="rId10"/>
          <w:footnotePr>
            <w:pos w:val="pageBottom"/>
            <w:numFmt w:val="decimal"/>
            <w:numRestart w:val="continuous"/>
          </w:footnotePr>
          <w:pgSz w:w="11900" w:h="16840"/>
          <w:pgMar w:top="284" w:right="1712" w:bottom="1217" w:left="1140" w:header="0" w:footer="3" w:gutter="0"/>
          <w:pgNumType w:start="1"/>
          <w:cols w:num="2" w:space="1133"/>
          <w:noEndnote/>
          <w:titlePg/>
          <w:rtlGutter w:val="0"/>
          <w:docGrid w:linePitch="360"/>
        </w:sectPr>
      </w:pPr>
      <w:r>
        <w:rPr>
          <w:color w:val="000000"/>
          <w:spacing w:val="0"/>
          <w:w w:val="100"/>
          <w:position w:val="0"/>
          <w:sz w:val="24"/>
          <w:szCs w:val="24"/>
          <w:shd w:val="clear" w:color="auto" w:fill="auto"/>
          <w:lang w:val="ru-RU" w:eastAsia="ru-RU" w:bidi="ru-RU"/>
        </w:rPr>
        <w:t>тГо @г1з-1еп^ег. 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8" w:after="1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23" w:right="0" w:bottom="1177"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6240780</wp:posOffset>
                </wp:positionH>
                <wp:positionV relativeFrom="paragraph">
                  <wp:posOffset>165100</wp:posOffset>
                </wp:positionV>
                <wp:extent cx="941705" cy="222250"/>
                <wp:wrapSquare wrapText="left"/>
                <wp:docPr id="7" name="Shape 7"/>
                <a:graphic xmlns:a="http://schemas.openxmlformats.org/drawingml/2006/main">
                  <a:graphicData uri="http://schemas.microsoft.com/office/word/2010/wordprocessingShape">
                    <wps:wsp>
                      <wps:cNvSpPr txBox="1"/>
                      <wps:spPr>
                        <a:xfrm>
                          <a:ext cx="941705"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3" type="#_x0000_t202" style="position:absolute;margin-left:491.40000000000003pt;margin-top:13.pt;width:74.150000000000006pt;height:17.5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Решение №024/06/106-3106/2024</w:t>
      </w:r>
    </w:p>
    <w:p>
      <w:pPr>
        <w:pStyle w:val="Style13"/>
        <w:keepNext w:val="0"/>
        <w:keepLines w:val="0"/>
        <w:widowControl w:val="0"/>
        <w:shd w:val="clear" w:color="auto" w:fill="auto"/>
        <w:bidi w:val="0"/>
        <w:spacing w:before="0" w:after="260" w:line="240" w:lineRule="auto"/>
        <w:ind w:left="0" w:right="0" w:firstLine="0"/>
        <w:jc w:val="both"/>
      </w:pPr>
      <w:r>
        <w:rPr>
          <w:color w:val="000000"/>
          <w:spacing w:val="0"/>
          <w:w w:val="100"/>
          <w:position w:val="0"/>
          <w:sz w:val="24"/>
          <w:szCs w:val="24"/>
          <w:shd w:val="clear" w:color="auto" w:fill="auto"/>
          <w:lang w:val="ru-RU" w:eastAsia="ru-RU" w:bidi="ru-RU"/>
        </w:rPr>
        <w:t>08 октября 2024 года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Председателя Комиссии - М.А. Грицай, начальника отдела, членов Комиссии: А.А. Грузиненко, ведущего специалиста-экперта, Е.С. Суслиной, специалиста-эксперта, рассмотрев жалобу общества с ограниченной ответственностью «Проект» (далее - податель жалобы) на действия заказчика - Краевого государственного бюджетного учреждения здравоохранения «Большеулуйская районная больница» при проведении аукциона в электронной форме ЭА 805/24 «Поставка оргтехники (системный блок) для нужд КГБУЗ «Большеулуйская РБ» (далее - аукцион) извещение №0319300077824000091, ИКЗ242240900029024090100101310012620244, на электронной торговой площадке ООО «РТС-тендер»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Существо жалобы: несоответствие извещения о проведении электронного аукциона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Жалоба была подана в Красноярское УФАС России в срок, установленный частью 2 статьи 105 Закона о контрактной системе, соответствовала требованиям части 4 статьи 105 указанного закона, в связи с чем была принята к рассмотрению по существу.</w:t>
      </w:r>
    </w:p>
    <w:p>
      <w:pPr>
        <w:pStyle w:val="Style13"/>
        <w:keepNext w:val="0"/>
        <w:keepLines w:val="0"/>
        <w:widowControl w:val="0"/>
        <w:shd w:val="clear" w:color="auto" w:fill="auto"/>
        <w:bidi w:val="0"/>
        <w:spacing w:before="0" w:after="200" w:line="240" w:lineRule="auto"/>
        <w:ind w:left="0" w:right="0" w:firstLine="740"/>
        <w:jc w:val="both"/>
      </w:pPr>
      <w:r>
        <w:rPr>
          <w:color w:val="000000"/>
          <w:spacing w:val="0"/>
          <w:w w:val="100"/>
          <w:position w:val="0"/>
          <w:sz w:val="24"/>
          <w:szCs w:val="24"/>
          <w:shd w:val="clear" w:color="auto" w:fill="auto"/>
          <w:lang w:val="ru-RU" w:eastAsia="ru-RU" w:bidi="ru-RU"/>
        </w:rPr>
        <w:t>В адреса подателя жалобы, заказчика, оператора электронной площадки было направлено уведомление о содержании жалобы с информацией о месте и времени ее рассмотрения.</w:t>
      </w:r>
    </w:p>
    <w:p>
      <w:pPr>
        <w:pStyle w:val="Style15"/>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w:t>
      </w:r>
      <w:bookmarkEnd w:id="0"/>
    </w:p>
    <w:p>
      <w:pPr>
        <w:pStyle w:val="Style13"/>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Заказчику,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3"/>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Рассмотрение жалобы состоялось 08.10.2024 года в 15 часов 10 минут по адресу: г. Красноярск, пр. Мира, 81Д, каб. 20. Податель жалобы и заказчик, уведомленные надлежащим образом о месте и времени рассмотрения жалобы, не обеспечили участие своих представителей.</w:t>
      </w:r>
    </w:p>
    <w:p>
      <w:pPr>
        <w:pStyle w:val="Style13"/>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Из доводов подателя жалобы следует следующее:</w:t>
      </w:r>
    </w:p>
    <w:p>
      <w:pPr>
        <w:pStyle w:val="Style13"/>
        <w:keepNext w:val="0"/>
        <w:keepLines w:val="0"/>
        <w:widowControl w:val="0"/>
        <w:numPr>
          <w:ilvl w:val="0"/>
          <w:numId w:val="1"/>
        </w:numPr>
        <w:shd w:val="clear" w:color="auto" w:fill="auto"/>
        <w:tabs>
          <w:tab w:pos="938" w:val="left"/>
        </w:tabs>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в описании объекта закупки заказчиком допущено несоответствие в наименовании и количестве характеристик объекта закупки, поскольку в указанном документе дублируется характеристика «объем установленного модуля оперативной памяти, Гигабайт»;</w:t>
      </w:r>
    </w:p>
    <w:p>
      <w:pPr>
        <w:pStyle w:val="Style13"/>
        <w:keepNext w:val="0"/>
        <w:keepLines w:val="0"/>
        <w:widowControl w:val="0"/>
        <w:numPr>
          <w:ilvl w:val="0"/>
          <w:numId w:val="1"/>
        </w:numPr>
        <w:shd w:val="clear" w:color="auto" w:fill="auto"/>
        <w:tabs>
          <w:tab w:pos="938" w:val="left"/>
        </w:tabs>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в структурированной форме извещения такая характеристика предмета закупки, как «объем установленного модуля оперативной памяти» и «объем оперативной установленной памяти» дублируется, поскольку, по своей сути, указанные характеристика являются одинаковыми;</w:t>
      </w:r>
    </w:p>
    <w:p>
      <w:pPr>
        <w:pStyle w:val="Style13"/>
        <w:keepNext w:val="0"/>
        <w:keepLines w:val="0"/>
        <w:widowControl w:val="0"/>
        <w:numPr>
          <w:ilvl w:val="0"/>
          <w:numId w:val="1"/>
        </w:numPr>
        <w:shd w:val="clear" w:color="auto" w:fill="auto"/>
        <w:tabs>
          <w:tab w:pos="933" w:val="left"/>
        </w:tabs>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в техническом задании отсутствует «накопитель 88^», который обязан быть в отношении данного объекта закупки;</w:t>
      </w:r>
    </w:p>
    <w:p>
      <w:pPr>
        <w:pStyle w:val="Style13"/>
        <w:keepNext w:val="0"/>
        <w:keepLines w:val="0"/>
        <w:widowControl w:val="0"/>
        <w:numPr>
          <w:ilvl w:val="0"/>
          <w:numId w:val="1"/>
        </w:numPr>
        <w:shd w:val="clear" w:color="auto" w:fill="auto"/>
        <w:tabs>
          <w:tab w:pos="938" w:val="left"/>
        </w:tabs>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в техническом задании заказчиком указано - «Предустановленная операционная система: Нет». Однако, при подаче заявки на участие в аукционе участнику закупки необходимо указать страну производства программного обеспечения. В связи с тем, без заполнения этого блока подать заявку на участие невозможно технически, в связи с чем поставщик, направляя заявку на участие в аукционе, вынужден указывать недостоверные данные о товаре.</w:t>
      </w:r>
    </w:p>
    <w:p>
      <w:pPr>
        <w:pStyle w:val="Style13"/>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В адрес Красноярского УФАС России заказчик представил письменные пояснения, в которых заказчик с доводами жалобы не согласился, просил в удовлетворении жалобы отказать, указывая, что:</w:t>
      </w:r>
    </w:p>
    <w:p>
      <w:pPr>
        <w:pStyle w:val="Style13"/>
        <w:keepNext w:val="0"/>
        <w:keepLines w:val="0"/>
        <w:widowControl w:val="0"/>
        <w:numPr>
          <w:ilvl w:val="0"/>
          <w:numId w:val="1"/>
        </w:numPr>
        <w:shd w:val="clear" w:color="auto" w:fill="auto"/>
        <w:tabs>
          <w:tab w:pos="948" w:val="left"/>
        </w:tabs>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объем установленного модуля оперативной памяти и объем оперативной установленной памяти являются разными характеристикам;</w:t>
      </w:r>
    </w:p>
    <w:p>
      <w:pPr>
        <w:pStyle w:val="Style13"/>
        <w:keepNext w:val="0"/>
        <w:keepLines w:val="0"/>
        <w:widowControl w:val="0"/>
        <w:numPr>
          <w:ilvl w:val="0"/>
          <w:numId w:val="1"/>
        </w:numPr>
        <w:shd w:val="clear" w:color="auto" w:fill="auto"/>
        <w:tabs>
          <w:tab w:pos="948" w:val="left"/>
        </w:tabs>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в описании объекта закупки в части дублирования характеристики «объем установленного модуля оперативной памяти» заказчиком была допущена техническая ошибка, которая не могла привести к введению в заблуждение потенциальных участников закупки;</w:t>
      </w:r>
    </w:p>
    <w:p>
      <w:pPr>
        <w:pStyle w:val="Style13"/>
        <w:keepNext w:val="0"/>
        <w:keepLines w:val="0"/>
        <w:widowControl w:val="0"/>
        <w:numPr>
          <w:ilvl w:val="0"/>
          <w:numId w:val="1"/>
        </w:numPr>
        <w:shd w:val="clear" w:color="auto" w:fill="auto"/>
        <w:tabs>
          <w:tab w:pos="943" w:val="left"/>
        </w:tabs>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требования к «накопителю 880» обязательной для указания характеристикой не является и может быть установлена в зависимости от действительной потребности заказчика.</w:t>
      </w:r>
    </w:p>
    <w:p>
      <w:pPr>
        <w:pStyle w:val="Style13"/>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Комиссия установила следующие обстоятельства.</w:t>
      </w:r>
    </w:p>
    <w:p>
      <w:pPr>
        <w:pStyle w:val="Style13"/>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В связи с возникшей потребностью заказчиком были совершены действия по проведению электронного аукциона ЭА 805/24 «Поставка оргтехники (системный блок) для нужд КГБУЗ «Большеулуйская РБ» с установлением начальной (максимальной) цены контракта в размере 71 866,00 рублей.</w:t>
      </w:r>
    </w:p>
    <w:p>
      <w:pPr>
        <w:pStyle w:val="Style13"/>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3"/>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3"/>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 xml:space="preserve">В соответствии с частью 2 статьи 33 Закона о контрактной системе описание объекта </w:t>
      </w:r>
      <w:r>
        <w:rPr>
          <w:color w:val="000000"/>
          <w:spacing w:val="0"/>
          <w:w w:val="100"/>
          <w:position w:val="0"/>
          <w:sz w:val="24"/>
          <w:szCs w:val="24"/>
          <w:shd w:val="clear" w:color="auto" w:fill="auto"/>
          <w:lang w:val="ru-RU" w:eastAsia="ru-RU" w:bidi="ru-RU"/>
        </w:rPr>
        <w:t>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товаров, работ, услуг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при прикреплении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Системного блока с применением кода ОКПД2 26.20.15 —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 содержания жалобы следует, что в описании объекта закупки заказчиком было допущено нарушение в части несоответствия наименования и количества характеристик объекта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Проанализировав описание объекта закупки Комиссия отмечает, что в пункте 1 «Описания объекта закупки» содержится характеристика «Объем установленного модуля оперативной памяти, Гигабайт: &gt; 8», в пункте 17 также содержится характеристика «Объем установленного модуля оперативной памяти, Гигабайт: &gt; 4», на основании чего Комиссия приходит к выводу о том, что в отношении одной и той же характеристики заказчиком были указаны разные значения, что указывает на тот факт, что данный довод подателя жалобы признан обоснованным.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Подателем жалобы также было указано, что такие характеристики, как «объем установленного модуля оперативной памяти» и «объем оперативной установленной памяти» по своей сути являются одинаковыми.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Вместе с тем, Комиссия отмечает, что данные характеристики объекта закупки не являются тождественными, поскольку оперативная память представляет собой энергозависимую часть системы компьютерной памяти, в которой во время работы компьютера хранится выполняемый машинный код (программы), а также входные, выходные и промежуточные данные, обрабатываемые процессором. А оперативное запоминающее устройство (модуль) является техническим устройством, реализующим функции оперативной памяти, от объёма которого зависит количество задач, которые одновременно может выполнять компьютер под управлением операционной системы. Доказательств обратного в материалы обращения не предоставлено, в связи с чем данный довод не находит своего подтверждения.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Вопреки доводу жалобы о том, что заказчик был обязан указать в техническом задании сведения о накопителе 88^, Комиссия, проанализировав содержание позиции КТРУ 26.20.15.000-00000026 пришла к выводу, что данная характеристика не является обязательной для применения, а потому может быть как указана, так и не применена, в зависимости от потребности заказчика.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содержании жалобы также указано на то, что, проводя электронный аукцион, заказчик неправомерно установил запрет на допуск программного обеспечения, происходящего из иностранного государства, предусмотренный постановлением Правительства Российской Федерации от 16.11.2016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Как следует из содержания позиции КТРУ 26.20.15.000-00000026 такая характеристика, как «предустановленная операционная система» не является обязательной для применения.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Вместе с тем, анализ описания объекта закупки показал Комиссии, что заказчиком была установлена данная характеристика в форме поставки системных блоков, не имеющих предустановленную операционную систему.</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структурированной форме извещения, в «Требованиях к содержанию, составу заявки на участие в электронном аукционе» заказчиком был установлен запрет в соответствии с Постановлением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пункта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Заявка на участие в закупке должна содержать информацию и документы, предусмотренные, в том числе, пунктом 5 части 1 статьи 43 Закона о контрактной системе (часть 1 статьи 49 Закона о контрактной системе).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Пунктом 5 части 1 статьи 43 Закона о контрактной системе предусмотрено, что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Пунктом 2 Постановления № 1236 установлен запрет на допуск программ для электронных вычислительных машин и баз данных, реализуемых независимо от вида договора </w:t>
      </w:r>
      <w:r>
        <w:rPr>
          <w:color w:val="000000"/>
          <w:spacing w:val="0"/>
          <w:w w:val="100"/>
          <w:position w:val="0"/>
          <w:sz w:val="24"/>
          <w:szCs w:val="24"/>
          <w:shd w:val="clear" w:color="auto" w:fill="auto"/>
          <w:lang w:val="ru-RU" w:eastAsia="ru-RU" w:bidi="ru-RU"/>
        </w:rPr>
        <w:t>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для целей осуществления закупок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пункту 2(1) Постановления № 1236 для целей применения пункта 2 Постановления № 1236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13"/>
        <w:keepNext w:val="0"/>
        <w:keepLines w:val="0"/>
        <w:widowControl w:val="0"/>
        <w:numPr>
          <w:ilvl w:val="0"/>
          <w:numId w:val="3"/>
        </w:numPr>
        <w:shd w:val="clear" w:color="auto" w:fill="auto"/>
        <w:tabs>
          <w:tab w:pos="102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w:t>
        <w:softHyphen/>
        <w:t>аппаратной инфраструктуры, обеспечивающей сбор, обработку и хранение данных (услуги облачных вычислений);</w:t>
      </w:r>
    </w:p>
    <w:p>
      <w:pPr>
        <w:pStyle w:val="Style13"/>
        <w:keepNext w:val="0"/>
        <w:keepLines w:val="0"/>
        <w:widowControl w:val="0"/>
        <w:numPr>
          <w:ilvl w:val="0"/>
          <w:numId w:val="3"/>
        </w:numPr>
        <w:shd w:val="clear" w:color="auto" w:fill="auto"/>
        <w:tabs>
          <w:tab w:pos="104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3"/>
        <w:keepNext w:val="0"/>
        <w:keepLines w:val="0"/>
        <w:widowControl w:val="0"/>
        <w:numPr>
          <w:ilvl w:val="0"/>
          <w:numId w:val="3"/>
        </w:numPr>
        <w:shd w:val="clear" w:color="auto" w:fill="auto"/>
        <w:tabs>
          <w:tab w:pos="103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3"/>
        <w:keepNext w:val="0"/>
        <w:keepLines w:val="0"/>
        <w:widowControl w:val="0"/>
        <w:numPr>
          <w:ilvl w:val="0"/>
          <w:numId w:val="3"/>
        </w:numPr>
        <w:shd w:val="clear" w:color="auto" w:fill="auto"/>
        <w:tabs>
          <w:tab w:pos="101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письме Министерства финансов Российской Федерации от 29.11.2022 № 24-06- 06/116710 сформирован правовой подход, согласно которому запрет, установленный Постановлением № 1236, применяется исключительно в рамках выполнения контрактных обязательств, связанных с программным обеспечением и (или) правами на него, перечисленных в пункте 2(1) Постановления № 1236. Вместе с тем, как было указано ранее, программное обеспечение в данном конкретном случае не является предустановленным, следовательно, потребность заказчика состоит в поставке исключительно системных блоков, не имеющих предустановленного программного обеспечения.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Комиссия приходит к выводу, что установление вышеуказанного запрета, с учетом требований к объекту закупки, установленных в описании, вынуждает участников закупки в ходе подачи заявки на участие в электронном аукционе указывать недостоверные сведения о предлагаемом к поставке товаре. Кроме того, Комиссия отмечает, что неправомерное установление данного запрета вводит потенциальных участников закупки, готовых предложить к поставке товар, произведенный в иностранном государстве, в заблуждение о том, что их заявка на участие будет заведомо отклонена. Таким образом, довод заявителя является обоснованным.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Указанное является нарушением пункта 3 части 2 статьи 42 Закона о контрактной системе и содержит признаки состава административного правонарушения, ответственность за которое предусмотрена частью 1.4 статьи 7.30 КоАП РФ.</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руководствуясь частями 3, 15, 22 статьи 99, частью 8 статьи 106 Закона о контрактной системе, Комиссия Красноярского УФАС России приняла решение:</w:t>
      </w:r>
      <w:r>
        <w:br w:type="page"/>
      </w:r>
    </w:p>
    <w:p>
      <w:pPr>
        <w:pStyle w:val="Style13"/>
        <w:keepNext w:val="0"/>
        <w:keepLines w:val="0"/>
        <w:widowControl w:val="0"/>
        <w:numPr>
          <w:ilvl w:val="0"/>
          <w:numId w:val="5"/>
        </w:numPr>
        <w:shd w:val="clear" w:color="auto" w:fill="auto"/>
        <w:tabs>
          <w:tab w:pos="1064" w:val="left"/>
        </w:tabs>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Признать жалобу общества с ограниченной ответственностью «Проект» частично обоснованной.</w:t>
      </w:r>
    </w:p>
    <w:p>
      <w:pPr>
        <w:pStyle w:val="Style13"/>
        <w:keepNext w:val="0"/>
        <w:keepLines w:val="0"/>
        <w:widowControl w:val="0"/>
        <w:numPr>
          <w:ilvl w:val="0"/>
          <w:numId w:val="5"/>
        </w:numPr>
        <w:shd w:val="clear" w:color="auto" w:fill="auto"/>
        <w:tabs>
          <w:tab w:pos="1064" w:val="left"/>
        </w:tabs>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Признать заказчика нарушившим требования пункта 15 части 1, пункта 3 части 2 статьи 42 Закона о контрактной системе.</w:t>
      </w:r>
    </w:p>
    <w:p>
      <w:pPr>
        <w:pStyle w:val="Style13"/>
        <w:keepNext w:val="0"/>
        <w:keepLines w:val="0"/>
        <w:widowControl w:val="0"/>
        <w:numPr>
          <w:ilvl w:val="0"/>
          <w:numId w:val="5"/>
        </w:numPr>
        <w:shd w:val="clear" w:color="auto" w:fill="auto"/>
        <w:tabs>
          <w:tab w:pos="1069" w:val="left"/>
        </w:tabs>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В целях устранения допущенного нарушения требований законодательства о контрактной системе в сфере закупок, прав и законных интересов участников закупки выдать заказчику предписание об устранении выявленных нарушений законодательства о контрактной системе в сфере закупок путем внесения изменений в извещение о проведении электронного аукциона.</w:t>
      </w:r>
    </w:p>
    <w:p>
      <w:pPr>
        <w:pStyle w:val="Style13"/>
        <w:keepNext w:val="0"/>
        <w:keepLines w:val="0"/>
        <w:widowControl w:val="0"/>
        <w:numPr>
          <w:ilvl w:val="0"/>
          <w:numId w:val="5"/>
        </w:numPr>
        <w:shd w:val="clear" w:color="auto" w:fill="auto"/>
        <w:tabs>
          <w:tab w:pos="1064" w:val="left"/>
        </w:tabs>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Комиссии заказчика по осуществлению закупок, заказчику, оператору электронной площадки отменить все протоколы, составленные в ходе проведения электронного аукциона.</w:t>
      </w:r>
    </w:p>
    <w:p>
      <w:pPr>
        <w:pStyle w:val="Style13"/>
        <w:keepNext w:val="0"/>
        <w:keepLines w:val="0"/>
        <w:widowControl w:val="0"/>
        <w:numPr>
          <w:ilvl w:val="0"/>
          <w:numId w:val="5"/>
        </w:numPr>
        <w:shd w:val="clear" w:color="auto" w:fill="auto"/>
        <w:tabs>
          <w:tab w:pos="1069" w:val="left"/>
        </w:tabs>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Продлить срок подачи заявок на участие в аукционе в электронной форме не менее, чем на 3 дня, начиная со дня размещения извещения о проведении электронного аукциона.</w:t>
      </w:r>
    </w:p>
    <w:p>
      <w:pPr>
        <w:pStyle w:val="Style13"/>
        <w:keepNext w:val="0"/>
        <w:keepLines w:val="0"/>
        <w:widowControl w:val="0"/>
        <w:numPr>
          <w:ilvl w:val="0"/>
          <w:numId w:val="5"/>
        </w:numPr>
        <w:shd w:val="clear" w:color="auto" w:fill="auto"/>
        <w:tabs>
          <w:tab w:pos="1078" w:val="left"/>
        </w:tabs>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Передать материалы по жалобе и результатам внеплановой проверки уполномоченному должностному лицу Красноярского УФАС России для принятия решения о необходимости возбуждении дела об административном правонарушении в отношении должностного лица заказчика.</w:t>
      </w:r>
    </w:p>
    <w:p>
      <w:pPr>
        <w:pStyle w:val="Style13"/>
        <w:keepNext w:val="0"/>
        <w:keepLines w:val="0"/>
        <w:widowControl w:val="0"/>
        <w:shd w:val="clear" w:color="auto" w:fill="auto"/>
        <w:bidi w:val="0"/>
        <w:spacing w:before="0" w:after="260" w:line="252" w:lineRule="auto"/>
        <w:ind w:left="0" w:right="0" w:firstLine="74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bidi w:val="0"/>
        <w:spacing w:before="0" w:after="260" w:line="240" w:lineRule="auto"/>
        <w:ind w:left="5980" w:right="0" w:firstLine="0"/>
        <w:jc w:val="both"/>
      </w:pPr>
      <w:r>
        <mc:AlternateContent>
          <mc:Choice Requires="wps">
            <w:drawing>
              <wp:anchor distT="0" distB="0" distL="114300" distR="114300" simplePos="0" relativeHeight="125829380" behindDoc="0" locked="0" layoutInCell="1" allowOverlap="1">
                <wp:simplePos x="0" y="0"/>
                <wp:positionH relativeFrom="page">
                  <wp:posOffset>701675</wp:posOffset>
                </wp:positionH>
                <wp:positionV relativeFrom="paragraph">
                  <wp:posOffset>12700</wp:posOffset>
                </wp:positionV>
                <wp:extent cx="1657985" cy="585470"/>
                <wp:wrapSquare wrapText="right"/>
                <wp:docPr id="9" name="Shape 9"/>
                <a:graphic xmlns:a="http://schemas.openxmlformats.org/drawingml/2006/main">
                  <a:graphicData uri="http://schemas.microsoft.com/office/word/2010/wordprocessingShape">
                    <wps:wsp>
                      <wps:cNvSpPr txBox="1"/>
                      <wps:spPr>
                        <a:xfrm>
                          <a:ext cx="1657985" cy="585470"/>
                        </a:xfrm>
                        <a:prstGeom prst="rect"/>
                        <a:noFill/>
                      </wps:spPr>
                      <wps:txbx>
                        <w:txbxContent>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5" type="#_x0000_t202" style="position:absolute;margin-left:55.25pt;margin-top:1.pt;width:130.55000000000001pt;height:46.100000000000001pt;z-index:-12582937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М.А. Грицай</w:t>
      </w:r>
    </w:p>
    <w:p>
      <w:pPr>
        <w:pStyle w:val="Style13"/>
        <w:keepNext w:val="0"/>
        <w:keepLines w:val="0"/>
        <w:widowControl w:val="0"/>
        <w:shd w:val="clear" w:color="auto" w:fill="auto"/>
        <w:bidi w:val="0"/>
        <w:spacing w:before="0" w:after="260" w:line="240" w:lineRule="auto"/>
        <w:ind w:left="0" w:right="0" w:firstLine="0"/>
        <w:jc w:val="right"/>
      </w:pPr>
      <w:r>
        <w:rPr>
          <w:color w:val="000000"/>
          <w:spacing w:val="0"/>
          <w:w w:val="100"/>
          <w:position w:val="0"/>
          <w:sz w:val="24"/>
          <w:szCs w:val="24"/>
          <w:shd w:val="clear" w:color="auto" w:fill="auto"/>
          <w:lang w:val="ru-RU" w:eastAsia="ru-RU" w:bidi="ru-RU"/>
        </w:rPr>
        <w:t>А.А. Грузиненко</w:t>
      </w:r>
    </w:p>
    <w:p>
      <w:pPr>
        <w:pStyle w:val="Style13"/>
        <w:keepNext w:val="0"/>
        <w:keepLines w:val="0"/>
        <w:widowControl w:val="0"/>
        <w:shd w:val="clear" w:color="auto" w:fill="auto"/>
        <w:bidi w:val="0"/>
        <w:spacing w:before="0" w:after="6600" w:line="240" w:lineRule="auto"/>
        <w:ind w:left="0" w:right="0" w:firstLine="0"/>
        <w:jc w:val="right"/>
      </w:pPr>
      <w:r>
        <w:rPr>
          <w:color w:val="000000"/>
          <w:spacing w:val="0"/>
          <w:w w:val="100"/>
          <w:position w:val="0"/>
          <w:sz w:val="24"/>
          <w:szCs w:val="24"/>
          <w:shd w:val="clear" w:color="auto" w:fill="auto"/>
          <w:lang w:val="ru-RU" w:eastAsia="ru-RU" w:bidi="ru-RU"/>
        </w:rPr>
        <w:t>Е.С. Суслина</w:t>
      </w:r>
    </w:p>
    <w:p>
      <w:pPr>
        <w:pStyle w:val="Style8"/>
        <w:keepNext w:val="0"/>
        <w:keepLines w:val="0"/>
        <w:widowControl w:val="0"/>
        <w:shd w:val="clear" w:color="auto" w:fill="auto"/>
        <w:bidi w:val="0"/>
        <w:spacing w:before="0" w:after="260" w:line="240" w:lineRule="auto"/>
        <w:ind w:left="0" w:right="0" w:firstLine="0"/>
        <w:jc w:val="left"/>
        <w:rPr>
          <w:sz w:val="20"/>
          <w:szCs w:val="20"/>
        </w:rPr>
      </w:pPr>
      <w:r>
        <w:rPr>
          <w:b w:val="0"/>
          <w:bCs w:val="0"/>
          <w:color w:val="000000"/>
          <w:spacing w:val="0"/>
          <w:w w:val="100"/>
          <w:position w:val="0"/>
          <w:sz w:val="20"/>
          <w:szCs w:val="20"/>
          <w:shd w:val="clear" w:color="auto" w:fill="auto"/>
          <w:lang w:val="ru-RU" w:eastAsia="ru-RU" w:bidi="ru-RU"/>
        </w:rPr>
        <w:t>Исп.Суслина Е.С. тел.211-01-44</w:t>
      </w:r>
    </w:p>
    <w:sectPr>
      <w:footnotePr>
        <w:pos w:val="pageBottom"/>
        <w:numFmt w:val="decimal"/>
        <w:numRestart w:val="continuous"/>
      </w:footnotePr>
      <w:type w:val="continuous"/>
      <w:pgSz w:w="11900" w:h="16840"/>
      <w:pgMar w:top="323" w:right="532" w:bottom="1177" w:left="109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10019665</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2024-17109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050000000000004pt;margin-top:788.95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2024-17109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2024-17109</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2024-17109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20"/>
      <w:szCs w:val="2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8"/>
      <w:szCs w:val="3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220"/>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4360A3"/>
      <w:sz w:val="20"/>
      <w:szCs w:val="20"/>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1"/>
    <w:basedOn w:val="Normal"/>
    <w:link w:val="CharStyle16"/>
    <w:pPr>
      <w:widowControl w:val="0"/>
      <w:shd w:val="clear" w:color="auto" w:fill="auto"/>
      <w:spacing w:after="22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