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3723005</wp:posOffset>
            </wp:positionH>
            <wp:positionV relativeFrom="paragraph">
              <wp:posOffset>12700</wp:posOffset>
            </wp:positionV>
            <wp:extent cx="524510" cy="62801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4723130</wp:posOffset>
                </wp:positionH>
                <wp:positionV relativeFrom="paragraph">
                  <wp:posOffset>100330</wp:posOffset>
                </wp:positionV>
                <wp:extent cx="1715770" cy="102108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5770" cy="1021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86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 ЦЕРГЛЛТ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 антимонопольн</w:t>
                              <w:br/>
                              <w:t>цергллтин</w:t>
                              <w:br/>
                              <w:t>Хальмг ТарЬчар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86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УУЛДДГ ЗАЛЛТ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71.90000000000003pt;margin-top:7.9000000000000004pt;width:135.09999999999999pt;height:80.400000000000006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86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 ЦЕРГЛЛТ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 антимонопольн</w:t>
                        <w:br/>
                        <w:t>цергллтин</w:t>
                        <w:br/>
                        <w:t>Хальмг ТарЬчар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86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УУЛДДГ ЗАЛЛТ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452" w:right="6891" w:bottom="1313" w:left="1433" w:header="24" w:footer="3" w:gutter="0"/>
          <w:pgNumType w:start="1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Калмыкия</w:t>
      </w:r>
    </w:p>
    <w:p>
      <w:pPr>
        <w:widowControl w:val="0"/>
        <w:spacing w:line="86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2" w:right="0" w:bottom="131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0</wp:posOffset>
                </wp:positionV>
                <wp:extent cx="2597150" cy="64008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7150" cy="640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Лермонтова, д. 4, г. Элиста, 358000</w:t>
                              <w:br/>
                              <w:t>тел./факс: (847 22) 4-13-31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юОЗ&amp;Газ.доу.ги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4.10.2024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 НН/1561/24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3.700000000000003pt;margin-top:0;width:204.5pt;height:50.399999999999999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Лермонтова, д. 4, г. Элиста, 358000</w:t>
                        <w:br/>
                        <w:t>тел./факс: (847 22) 4-13-31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юОЗ&amp;Газ.доу.ги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4.10.2024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 НН/1561/24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Лермонтова уульнц, 4 гер, Элст балЬсн, 358000</w:t>
        <w:br/>
        <w:t>тел./факс: (847 22) 4-13-31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26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1о08@Га8.§оу.ги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Заявитель: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0"/>
        <w:jc w:val="left"/>
        <w:rPr>
          <w:sz w:val="26"/>
          <w:szCs w:val="26"/>
        </w:rPr>
      </w:pPr>
      <w:r>
        <w:drawing>
          <wp:anchor distT="494030" distB="0" distL="19050" distR="12700" simplePos="0" relativeHeight="125829383" behindDoc="0" locked="0" layoutInCell="1" allowOverlap="1">
            <wp:simplePos x="0" y="0"/>
            <wp:positionH relativeFrom="page">
              <wp:posOffset>711835</wp:posOffset>
            </wp:positionH>
            <wp:positionV relativeFrom="paragraph">
              <wp:posOffset>671830</wp:posOffset>
            </wp:positionV>
            <wp:extent cx="2621280" cy="182880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177800</wp:posOffset>
                </wp:positionV>
                <wp:extent cx="2609215" cy="1797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46619B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550000000000004pt;margin-top:14.pt;width:205.45000000000002pt;height:14.1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46619B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Общество с ограниченной ответственностью «Строительно-Отделочная Фирма «БаРо» 8ой_Ьаго@таП.ги;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ита^ОVа81апсоп8и1@уап^еx.^и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Заказчик: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Бюджетное учреждение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Республики Калмыкия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«Черноземельская районная больница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им. У Душана»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сгЬ4и8капа@тай.ги;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сгЬ4и8капа@гкО8.ги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Служба регулирования контрактной системы в сфере закупок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Республики Калмыкия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Гогтдо//акирк|@та|1.ги. /акирк|@гк08.ги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Национальная электронная площадка: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«Фабрикант»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6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аи4йог8@еф/.ги. тГо@ГаЬпкап!.ги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hanging="12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№008/06/100-212/2024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hanging="424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6402070</wp:posOffset>
                </wp:positionH>
                <wp:positionV relativeFrom="paragraph">
                  <wp:posOffset>12700</wp:posOffset>
                </wp:positionV>
                <wp:extent cx="713105" cy="25019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Элиста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4.10000000000002pt;margin-top:1.pt;width:56.149999999999999pt;height:19.6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Элиста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14.10.2024г.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- 09.10.2024г.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изготовлено в полном объеме - 14.10.2024г.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-424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Калмыкия по контролю в сфере закупок товаров. работ. услуг для обеспечения государственных и муниципальных нужд (далее - Комиссия Калмыцкого УФАС России)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-4240" w:right="0" w:firstLine="7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2" w:right="733" w:bottom="1313" w:left="536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- Ностаева Н.В.. руководитель Калмыцкого УФАС России.</w:t>
      </w:r>
    </w:p>
    <w:p>
      <w:pPr>
        <w:widowControl w:val="0"/>
        <w:spacing w:after="460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7650" cy="29273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2" w:right="694" w:bottom="1216" w:left="111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 - Басангова А.В., государственный инспектор Калмыцкого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 - Мархадаева А.М., старший государственный инспектор Калмыцкого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видео-конференц-связи представителей от: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Общества с ограниченной ответственностью «Строительно</w:t>
        <w:softHyphen/>
        <w:t>Отделочная Фирма «БаРо»- Беловой Ю.В. (доверенность от 08.09.2024г. №01/22);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- Бюджетного учреждения Республики Калмыкия «Черноземельская районная больница им.У Душана» - Ситалиевой А.А. (доверенность от 07.10.2024г. б/н);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 - Бадмаева Б.Ю., начальника отдела регулирования контрактной системы Службы регулирования контрактной системы в сфере закупок Республики Калмыкия (доверенность -от 19.02.2024г. №027/АБ-03-07-104).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в открытом заседании жалобу ООО «СОФ «БаРо»,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Калмыцкое УФАС России (вх. №3539-ЭП/24) 02.10.2024 в 13:06, поступила жалоба от ООО «СОФ «БаРо» на действия Заказчика - Бюджетного учреждения Республики Калмыкия «Черноземельская районная больница им.У.Душана», при проведении электронного аукциона по объекту закупки: «Шприцы, иглы, катетеры, канюли и аналогичные инструменты», реестровый номер извещения №0105500000224001336.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жалобы следует, что документация о проведении аукциона реестровый номер извещения №0105500000224001336 нарушает законодательство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сторонами материалы, проведя анализ информации, содержащейся в единой информационной системе, выслушав представителей, Комиссия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г. в Единой информационной системе было размещено извещение о проведении электронного аукциона по объекту закупки: «Шприцы, иглы, катетеры, канюли и аналогичные инструменты», реестровый номер извещения №0105500000224001336.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— 186 951.20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рамках рассмотрения доводов указанных заявителем,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Заявитель в жалобе указывает, что Шприцы, подходящие по совокупности всех параметров имеются только у единственного производителя - ООО «Парамед Консалтинг» по регистрационному удостоверению РЗН 2022/18223, из чего следует однозначный вывод, что Заказчик по позициям № № 6 и 7 детализировал объект закупки под товар указанного (единственного) производителя.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возражал против данного довода, указав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Шприцы с безопасными механизмами регистрируются Федеральной службой по надзору в сфере здравоохранения, что подтверждает их соответствие всем действующим стандартам по качеству медицинских изделий и стандартам в области оказания медицинской помощи.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Факт регистрации означает законность в обращении и возможность Заказчиков приобретать и использовать их.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Требованиям технического задания отвечает продукция нескольких производителей. Соответствие шприцев разных производителей требованиям технического задания подтверждается информацией в Государственном реестре медицинских изделий.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Описание объекта закупки, Комиссия установила, что оно составлено заказчиком на основании собственных потребностей,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fldChar w:fldCharType="begin"/>
      </w:r>
      <w:r>
        <w:rPr/>
        <w:instrText> HYPERLINK "https://login.consultant.ru/link/?req=doc&amp;base=LAW&amp;n=465972"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 контрактной системе не содержит норм, ограничивающих право заказчика включать в извещение о проведении электронного аукциона требования к объекту закупки, которые являются для него значимыми, равно как и норм, обязывающих заказчика устанавливать в этой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товаров, работ, услуг.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данном случае установление в извещении о проведении аукциона иных требований к характеристикам закупаемых товаров не будет служить цели удовлетворения потребности заказчика. Доказательств обратного Комиссии представлено не было. Также подателем жалобы не представлено доказательств заявленного довода о "заточке" описания объекта закупки под определенный товар от одного производителя.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доводы подателя жалобы о включении в описание объекта закупки оспариваемых характеристик, которые, по мнению подателя жалобы, являются избыточными и сужают круг возможных участников, не подтвердились в ходе рассмотрения жалобы по существу.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Заказчиком обоснование дополнительной характеристики фактически не является надлежащим обоснованием применения дополнительных характеристик, не предусмотренных положениями КТРУ, поскольку повторное использование одноразового шприца запрещено.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7 Правил № 145 применения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описания объекта закупки по оспариваемым позициям № 6 (КТРУ 32.50.13.110-00004566), № 7 (КТРУ 32.50.13.110-00004568) Заказчик установил следующие дополнительные характеристики товара: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700405</wp:posOffset>
                </wp:positionH>
                <wp:positionV relativeFrom="paragraph">
                  <wp:posOffset>12700</wp:posOffset>
                </wp:positionV>
                <wp:extent cx="1341120" cy="201295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 позиции Код КТРУ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5.149999999999999pt;margin-top:1.pt;width:105.60000000000001pt;height:15.85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 позиции Код КТРУ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Дополнительная характеристика Обоснование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6200" distB="5175250" distL="0" distR="0" simplePos="0" relativeHeight="125829388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76200</wp:posOffset>
                </wp:positionV>
                <wp:extent cx="1356360" cy="38417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6360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6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32.50.13.110-00004566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5.600000000000001pt;margin-top:6.pt;width:106.8pt;height:30.25pt;z-index:-125829365;mso-wrap-distance-left:0;mso-wrap-distance-top:6.pt;mso-wrap-distance-right:0;mso-wrap-distance-bottom:407.5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6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32.50.13.110-00004566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4242435" distL="0" distR="0" simplePos="0" relativeHeight="125829390" behindDoc="0" locked="0" layoutInCell="1" allowOverlap="1">
                <wp:simplePos x="0" y="0"/>
                <wp:positionH relativeFrom="page">
                  <wp:posOffset>2967990</wp:posOffset>
                </wp:positionH>
                <wp:positionV relativeFrom="paragraph">
                  <wp:posOffset>76200</wp:posOffset>
                </wp:positionV>
                <wp:extent cx="1944370" cy="13169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44370" cy="1316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990" w:val="right"/>
                              </w:tabs>
                              <w:bidi w:val="0"/>
                              <w:spacing w:before="0" w:after="0"/>
                              <w:ind w:left="0" w:right="0" w:firstLine="18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Наличие безопасного механизма, который приводит к блокированию иглы после применения</w:t>
                              <w:tab/>
                              <w:t>(помимо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986" w:val="righ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защитного</w:t>
                              <w:tab/>
                              <w:t>колпачка).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Информация о наличии безопасного механизма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33.70000000000002pt;margin-top:6.pt;width:153.09999999999999pt;height:103.7pt;z-index:-125829363;mso-wrap-distance-left:0;mso-wrap-distance-top:6.pt;mso-wrap-distance-right:0;mso-wrap-distance-bottom:334.05000000000001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990" w:val="right"/>
                        </w:tabs>
                        <w:bidi w:val="0"/>
                        <w:spacing w:before="0" w:after="0"/>
                        <w:ind w:left="0" w:right="0" w:firstLine="18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Наличие безопасного механизма, который приводит к блокированию иглы после применения</w:t>
                        <w:tab/>
                        <w:t>(помимо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986" w:val="right"/>
                        </w:tabs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защитного</w:t>
                        <w:tab/>
                        <w:t>колпачка).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Информация о наличии безопасного механизма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4794250" distL="0" distR="0" simplePos="0" relativeHeight="125829392" behindDoc="0" locked="0" layoutInCell="1" allowOverlap="1">
                <wp:simplePos x="0" y="0"/>
                <wp:positionH relativeFrom="page">
                  <wp:posOffset>5092065</wp:posOffset>
                </wp:positionH>
                <wp:positionV relativeFrom="paragraph">
                  <wp:posOffset>76200</wp:posOffset>
                </wp:positionV>
                <wp:extent cx="2121535" cy="76517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1535" cy="765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213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Специальный</w:t>
                              <w:tab/>
                              <w:t>защитный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757" w:val="left"/>
                              </w:tabs>
                              <w:bidi w:val="0"/>
                              <w:spacing w:before="0" w:after="6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механизм</w:t>
                              <w:tab/>
                              <w:t>приводит к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блокированию иглы после применения. Необходим для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00.94999999999999pt;margin-top:6.pt;width:167.05000000000001pt;height:60.25pt;z-index:-125829361;mso-wrap-distance-left:0;mso-wrap-distance-top:6.pt;mso-wrap-distance-right:0;mso-wrap-distance-bottom:377.5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213" w:val="left"/>
                        </w:tabs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Специальный</w:t>
                        <w:tab/>
                        <w:t>защитный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757" w:val="left"/>
                        </w:tabs>
                        <w:bidi w:val="0"/>
                        <w:spacing w:before="0" w:after="6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механизм</w:t>
                        <w:tab/>
                        <w:t>приводит к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блокированию иглы после применения. Необходим для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19855" distB="1145540" distL="0" distR="0" simplePos="0" relativeHeight="125829394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3919855</wp:posOffset>
                </wp:positionV>
                <wp:extent cx="1356360" cy="570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6360" cy="570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7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32.50.13.110-00004568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5.600000000000001pt;margin-top:308.65000000000003pt;width:106.8pt;height:44.899999999999999pt;z-index:-125829359;mso-wrap-distance-left:0;mso-wrap-distance-top:308.65000000000003pt;mso-wrap-distance-right:0;mso-wrap-distance-bottom:90.200000000000003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7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32.50.13.110-00004568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5730" distB="3291840" distL="0" distR="0" simplePos="0" relativeHeight="125829396" behindDoc="0" locked="0" layoutInCell="1" allowOverlap="1">
                <wp:simplePos x="0" y="0"/>
                <wp:positionH relativeFrom="page">
                  <wp:posOffset>2967990</wp:posOffset>
                </wp:positionH>
                <wp:positionV relativeFrom="paragraph">
                  <wp:posOffset>1395730</wp:posOffset>
                </wp:positionV>
                <wp:extent cx="1938655" cy="94805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38655" cy="948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размещена в реестровой записи медицинского изделия в Государственном реестре медицинских изделий на сайте Росздравнадзора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33.70000000000002pt;margin-top:109.90000000000001pt;width:152.65000000000001pt;height:74.650000000000006pt;z-index:-125829357;mso-wrap-distance-left:0;mso-wrap-distance-top:109.90000000000001pt;mso-wrap-distance-right:0;mso-wrap-distance-bottom:259.1999999999999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размещена в реестровой записи медицинского изделия в Государственном реестре медицинских изделий на сайте Росздравнадзора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19855" distB="30480" distL="0" distR="0" simplePos="0" relativeHeight="125829398" behindDoc="0" locked="0" layoutInCell="1" allowOverlap="1">
                <wp:simplePos x="0" y="0"/>
                <wp:positionH relativeFrom="page">
                  <wp:posOffset>2931160</wp:posOffset>
                </wp:positionH>
                <wp:positionV relativeFrom="paragraph">
                  <wp:posOffset>3919855</wp:posOffset>
                </wp:positionV>
                <wp:extent cx="2054225" cy="16852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4225" cy="1685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25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Наличие</w:t>
                              <w:tab/>
                              <w:t>безопасного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механизма, который приводит к блокированию иглы после применения (помимо защитного колпачка). Информация о наличии безопасного механизма размещена в реестровой записи медицинского изделия в Государственном реестре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30.80000000000001pt;margin-top:308.65000000000003pt;width:161.75pt;height:132.69999999999999pt;z-index:-125829355;mso-wrap-distance-left:0;mso-wrap-distance-top:308.65000000000003pt;mso-wrap-distance-right:0;mso-wrap-distance-bottom:2.399999999999999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25" w:val="left"/>
                        </w:tabs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Наличие</w:t>
                        <w:tab/>
                        <w:t>безопасного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механизма, который приводит к блокированию иглы после применения (помимо защитного колпачка). Информация о наличии безопасного механизма размещена в реестровой записи медицинского изделия в Государственном реестре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44550" distB="0" distL="0" distR="0" simplePos="0" relativeHeight="125829400" behindDoc="0" locked="0" layoutInCell="1" allowOverlap="1">
                <wp:simplePos x="0" y="0"/>
                <wp:positionH relativeFrom="page">
                  <wp:posOffset>5058410</wp:posOffset>
                </wp:positionH>
                <wp:positionV relativeFrom="paragraph">
                  <wp:posOffset>844550</wp:posOffset>
                </wp:positionV>
                <wp:extent cx="2157730" cy="479171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57730" cy="4791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278" w:val="righ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защиты медицинского персонала от случайных травм. Применяется в случаях повышенного риска инфицирования гемоконтактными заболеваниями (ВИЧ, гепатиты В и С). Наличие информации о технических характеристиках изделия в реестровой записи медицинского изделия в Государственном</w:t>
                              <w:tab/>
                              <w:t>реестре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283" w:val="righ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медицинских изделий на сайте Росздравнадзора необходимо для однозначной идентификации медицинского изделия, для исключения</w:t>
                              <w:tab/>
                              <w:t>поставок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278" w:val="righ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контрафактной</w:t>
                              <w:tab/>
                              <w:t>или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163" w:val="righ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незарегистрированной продукции. Специальный</w:t>
                              <w:tab/>
                              <w:t>защитный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790" w:val="left"/>
                              </w:tabs>
                              <w:bidi w:val="0"/>
                              <w:spacing w:before="0" w:after="6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механизм</w:t>
                              <w:tab/>
                              <w:t>приводит к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блокированию иглы после применения. Необходим для защиты медицинского персонала от случайных травм. Применяется в случаях повышенного риска инфицирования гемоконтактными заболеваниями (ВИЧ, гепатиты 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398.30000000000001pt;margin-top:66.5pt;width:169.90000000000001pt;height:377.30000000000001pt;z-index:-125829353;mso-wrap-distance-left:0;mso-wrap-distance-top:66.5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278" w:val="right"/>
                        </w:tabs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защиты медицинского персонала от случайных травм. Применяется в случаях повышенного риска инфицирования гемоконтактными заболеваниями (ВИЧ, гепатиты В и С). Наличие информации о технических характеристиках изделия в реестровой записи медицинского изделия в Государственном</w:t>
                        <w:tab/>
                        <w:t>реестре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283" w:val="right"/>
                        </w:tabs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медицинских изделий на сайте Росздравнадзора необходимо для однозначной идентификации медицинского изделия, для исключения</w:t>
                        <w:tab/>
                        <w:t>поставок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278" w:val="right"/>
                        </w:tabs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контрафактной</w:t>
                        <w:tab/>
                        <w:t>или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163" w:val="righ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незарегистрированной продукции. Специальный</w:t>
                        <w:tab/>
                        <w:t>защитный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790" w:val="left"/>
                        </w:tabs>
                        <w:bidi w:val="0"/>
                        <w:spacing w:before="0" w:after="6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механизм</w:t>
                        <w:tab/>
                        <w:t>приводит к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блокированию иглы после применения. Необходим для защиты медицинского персонала от случайных травм. Применяется в случаях повышенного риска инфицирования гемоконтактными заболеваниями (ВИЧ, гепатиты 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6876" w:val="left"/>
        </w:tabs>
        <w:bidi w:val="0"/>
        <w:spacing w:before="0" w:after="0"/>
        <w:ind w:left="35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медицинских изделий на сайте и С). Наличие информации о Росздравнадзора</w:t>
        <w:tab/>
        <w:t>технических характеристиках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10102" w:val="right"/>
        </w:tabs>
        <w:bidi w:val="0"/>
        <w:spacing w:before="0" w:after="0"/>
        <w:ind w:left="68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изделия в реестровой записи медицинского изделия в Государственном</w:t>
        <w:tab/>
        <w:t>реестре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10102" w:val="right"/>
        </w:tabs>
        <w:bidi w:val="0"/>
        <w:spacing w:before="0" w:after="0"/>
        <w:ind w:left="68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медицинских изделий на сайте Росздравнадзора необходимо для однозначной идентификации медицинского изделия, для исключения</w:t>
        <w:tab/>
        <w:t>поставок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10102" w:val="right"/>
        </w:tabs>
        <w:bidi w:val="0"/>
        <w:spacing w:before="0" w:after="0"/>
        <w:ind w:left="68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контрафактной</w:t>
        <w:tab/>
        <w:t>или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00"/>
        <w:ind w:left="68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незарегистрированной продукции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отсутствует информация о повторном использовании одноразового шприца.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05" w:right="535" w:bottom="1222" w:left="1103" w:header="677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5 части 1 статьи 42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№145 (далее - Правила №145) следует, что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72" w:val="left"/>
        </w:tabs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0" w:val="left"/>
        </w:tabs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72" w:val="left"/>
        </w:tabs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560"/>
        <w:jc w:val="both"/>
        <w:rPr>
          <w:sz w:val="24"/>
          <w:szCs w:val="24"/>
        </w:rPr>
        <w:sectPr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569" w:left="1106" w:header="677" w:footer="141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 7 Правил в случае осуществления закупки товара, работы, услуги, в отношении которых в каталоге отсутствуют соответствующие позиции,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2024-1878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установлено Комиссией описание объекта закупки сформировано с использованием единой информационной системы с применением кода позиции и информации предусмотренной Правилами.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позициям №6 (КТРУ 32.50.13.110-00004566) и №7 (КТРУ 32.50.12.110</w:t>
        <w:softHyphen/>
        <w:t>000004568) установлено требование: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«Наличие безопасного механизма, который приводит к блокированию иглы после применения (помимо защитного колпачка). Информация о наличии безопасного механизма размещена в реестровой записи медицинского изделия в Государственном реестре медицинских изделий на сайте Росздравнадзора»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контрактной системе не содержит норм, ограничивающих право Заказчика включать в описание объекта закупки характеристики товара, которые являются для него значимыми, и , обязывающим Заказчика устанавливать в закупочной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Статья 33 Закона о контрактной системе устанавливает правила описания объекта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1 ст. 105 Закона о контрактной системе при проведении конкурентных способов, при осуществлении закупки, осуществляемой в соответствии с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Объектом закупки является поставка товара (медицинские изделия), а не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утилизация данных изделий.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чем, вопрос о соблюдении методики обеззараживания и утилизации медицинских изделий предусмотренной Роспотребнадзором не может быть предметом рассмотрения жалобы.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указанным позициям Заказчиком установлены характеристики в соответствии с КТРУ. С учетом п. 6 Правил указаны дополнительные требования, и приведено обоснование необходимости их использования.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Спорные дополнительные характеристики отражают действительную потребность Заказчика в приобретении товара в наибольшей степени соответствующего целям оказания качественных медицинских услуг, с учетом специфики деятельности учреждения, исходя из принципа ответственности за результативность обеспечения государственных нужд, эффективность осуществления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 описании объекта закупки, Заказчик установил такие характеристики товара, которые наиболее полно отвечают потребностям медицинской организации и обеспечивают максимальную безопасность пациента, а также позволяют оказывать квалифицированную медицинскую помощь.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Само по себе несогласие подателя жалобы с содержанием обоснования заказчика необходимости использования в описании объекта закупки дополнительных характеристик приобретаемых товаров, которые не предусмотрены соответствующими позициями КТРУ, не свидетельствует о неправомерности такого обоснования по вышеуказанным причинам. Довод признан необоснованным.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 Заявитель указывает, что формирование объекта закупки Заказчик фактически исключил возможность отечественным производителям шприцев принять участие в закупке и воспользоваться гарантированным Законодателем преимуществом, установленными постановлением Правительства № 102 в отношении товарных позиций описания объекта закупки № 1 и № 4 , для которых не требуется дополнительная характеристика, и которые выпускаются на территории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ч.3 ст.14 Закона о контрактной системе,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долю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закупок российских товаров, в том числе товаров, поставляемых при выполнении закупаемых работ, оказании закупаемых услуг (далее - минимальная доля закупок), и перечень таких товаров,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устанавливается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порядок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РФ от 05.02.2015г. №102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установлены: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отдельных видов медицинских изделий,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 муниципальных нужд (перечень №1)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медицинских изделий одноразового применения (использования) из поливинилхлоридных пластиков и иных пластиков, полимеров и материалов,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 муниципальных нужд (перечень №2).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подтверждает, что вышеуказанные позиции включены в указанный перечень, а следовательно, в отношении них устанавливаются ограничения на допуск иностранных товаров, предусмотренных Постановлением №102. Довод признан необоснованным.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 Согласно следующему доводу, электронная версия извещения не содержат информацию о реквизитах счета, на котором в соответствии с законодательством Российской Федерации учитываются операции со средствами, поступающими заказчику (Раздел «Платежные реквизиты» - «Номер расчётного счёта»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00000000000000000000).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возражениям Заказчика и уполномоченного органа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Приказом Федерального Казначейства от 01.04.2020г. №15н «О порядке открытия казначейских счетов» и изменений Бюджетного кодекса РФ у заказчиков меняются платежные реквизиты и с 01.01.2021г. Используются казначейские счета.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 в ЕИС не подгружаются указанные счета в автоматическом режиме в личные кабинеты заказчиков, как это происходило раннее. Для указания информации о новых казначейских счетах в извещении об осуществлении закупки( при отражении реквизитов счетов для перечисления обеспечения исполнения контракта, обеспечения гарантийных обязательств) рекомендуется: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заполнении информации в карточке закупки в блоке «Платежные реквизиты» выбирать следующее значение «Счет- «р/с: 00000000000000000000; л/с: См. прилагаемые документы; БИК: 000000000».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извещении Платежные реквизиты для обеспечения исполнения контракта Счет- «р/с: 00000000000000000000; л/с: См. прилагаемые документы; БИК: 000000000 были указаны согласно указанных рекомендаций.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признан необоснованным.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 пунктом 2 части 22 статьи 99 настоящего Федерального закона, о совершении иных действий, предусмотренных частью 22 статьи 99 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статьями 99,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 Калмыцкого УФАС России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Общества с ограниченной ответственностью «Строительно</w:t>
        <w:softHyphen/>
        <w:t>Отделочная Фирма «БаРо» на действия заказчика Бюджетного учреждения Республики Калмыкия «Черноземельская районная больница им.У.Душана», при проведении электронного аукциона по объекту закупки: «Шприцы, иглы, катетеры,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канюли и аналогичные инструменты», реестровый номер извещения №0105500000224001336.,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Согласно части 9 статьи 106 Федерального закона от 05.04.2013 ^44-ФЗ "О контрактной системе в сфере закупок товаров, работ, услуг для обеспечения государственных и муниципальных нужд"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091" w:right="535" w:bottom="1163" w:left="1102" w:header="663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215900" distL="0" distR="0" simplePos="0" relativeHeight="125829402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508000</wp:posOffset>
                </wp:positionV>
                <wp:extent cx="1828800" cy="2501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7.75pt;margin-top:40.pt;width:144.pt;height:19.699999999999999pt;z-index:-125829351;mso-wrap-distance-left:0;mso-wrap-distance-top:4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90550" distB="20955" distL="0" distR="1804670" simplePos="0" relativeHeight="125829404" behindDoc="0" locked="0" layoutInCell="1" allowOverlap="1">
            <wp:simplePos x="0" y="0"/>
            <wp:positionH relativeFrom="page">
              <wp:posOffset>2726690</wp:posOffset>
            </wp:positionH>
            <wp:positionV relativeFrom="paragraph">
              <wp:posOffset>590550</wp:posOffset>
            </wp:positionV>
            <wp:extent cx="311150" cy="365760"/>
            <wp:wrapTopAndBottom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660400</wp:posOffset>
                </wp:positionV>
                <wp:extent cx="1722120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45.65000000000001pt;margin-top:52.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0730" distB="0" distL="0" distR="0" simplePos="0" relativeHeight="125829405" behindDoc="0" locked="0" layoutInCell="1" allowOverlap="1">
                <wp:simplePos x="0" y="0"/>
                <wp:positionH relativeFrom="page">
                  <wp:posOffset>6073775</wp:posOffset>
                </wp:positionH>
                <wp:positionV relativeFrom="paragraph">
                  <wp:posOffset>760730</wp:posOffset>
                </wp:positionV>
                <wp:extent cx="1115695" cy="21336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Н.В. Ностаева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78.25pt;margin-top:59.899999999999999pt;width:87.850000000000009pt;height:16.800000000000001pt;z-index:-125829348;mso-wrap-distance-left:0;mso-wrap-distance-top:59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Н.В. Ностаева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Ностаева Наталья Вячеславовна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2248ВВ8Е52Е9Е3592АЕЕЕ4В34О3312Е0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04.07.2024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27.09.2025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407" behindDoc="0" locked="0" layoutInCell="1" allowOverlap="1">
            <wp:simplePos x="0" y="0"/>
            <wp:positionH relativeFrom="page">
              <wp:posOffset>2714625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3171825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49.75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3129280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46.40000000000001pt;margin-top:12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Мархадаева А.М.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Мархадаева Анна Михайловна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00ОАС29149ВА79628СА34А2Е24ОС6002С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/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14.03.2024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07.06.2025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408" behindDoc="0" locked="0" layoutInCell="1" allowOverlap="1">
            <wp:simplePos x="0" y="0"/>
            <wp:positionH relativeFrom="page">
              <wp:posOffset>2675255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3171825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49.75pt;margin-top:36.55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3126105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46.15000000000001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Басангова А.В.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Басангова Амрхн Валерьевна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00А2541С8136ЕЕААС13ВВ2ОС5172344438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94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18.09.2023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11.12.2024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Исп.Басангова А.В. тел.8(84722) 4-23-33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2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10018395</wp:posOffset>
              </wp:positionV>
              <wp:extent cx="646430" cy="10033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57.050000000000004pt;margin-top:788.85000000000002pt;width:50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10018395</wp:posOffset>
              </wp:positionV>
              <wp:extent cx="646430" cy="10033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7.050000000000004pt;margin-top:788.85000000000002pt;width:50.89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B"/>
      <w:sz w:val="16"/>
      <w:szCs w:val="16"/>
      <w:u w:val="none"/>
    </w:rPr>
  </w:style>
  <w:style w:type="character" w:customStyle="1" w:styleId="CharStyle6">
    <w:name w:val="Основной текст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9"/>
      <w:szCs w:val="19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Основной текст (7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Основной текст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0">
    <w:name w:val="Основной текст (6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32">
    <w:name w:val="Основной текст (3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B"/>
      <w:sz w:val="16"/>
      <w:szCs w:val="16"/>
      <w:u w:val="none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auto"/>
      <w:spacing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9"/>
      <w:szCs w:val="19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Основной текст (7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after="160"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31">
    <w:name w:val="Основной текст (3)"/>
    <w:basedOn w:val="Normal"/>
    <w:link w:val="CharStyle32"/>
    <w:pPr>
      <w:widowControl w:val="0"/>
      <w:shd w:val="clear" w:color="auto" w:fill="auto"/>
      <w:ind w:left="3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footer" Target="footer2.xml"/><Relationship Id="rId13" Type="http://schemas.openxmlformats.org/officeDocument/2006/relationships/footer" Target="footer3.xml"/><Relationship Id="rId14" Type="http://schemas.openxmlformats.org/officeDocument/2006/relationships/footer" Target="footer4.xm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08.08.2024)"О контрактной системе в сфере закупок товаров, работ, услуг для обеспечения государственных и муниципальных нужд"(с изм. и доп., вступ. в силу с 01.10.2024)</dc:title>
  <dc:subject/>
  <dc:creator/>
  <cp:keywords/>
</cp:coreProperties>
</file>