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2700" distL="114300" distR="11430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18160" cy="61595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8160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1414780" distL="114300" distR="228600" simplePos="0" relativeHeight="125829379" behindDoc="0" locked="0" layoutInCell="1" allowOverlap="1">
                <wp:simplePos x="0" y="0"/>
                <wp:positionH relativeFrom="page">
                  <wp:posOffset>4057015</wp:posOffset>
                </wp:positionH>
                <wp:positionV relativeFrom="paragraph">
                  <wp:posOffset>574040</wp:posOffset>
                </wp:positionV>
                <wp:extent cx="1908810" cy="36830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8810" cy="368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Дело № 010/06/106-555/2024 04-18/111-2024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19.44999999999999pt;margin-top:45.200000000000003pt;width:150.30000000000001pt;height:29.pt;z-index:-125829374;mso-wrap-distance-left:9.pt;mso-wrap-distance-right:18.pt;mso-wrap-distance-bottom:111.4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Дело № 010/06/106-555/2024 04-18/111-2024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537210" distB="701675" distL="118745" distR="114300" simplePos="0" relativeHeight="125829381" behindDoc="0" locked="0" layoutInCell="1" allowOverlap="1">
                <wp:simplePos x="0" y="0"/>
                <wp:positionH relativeFrom="page">
                  <wp:posOffset>4061460</wp:posOffset>
                </wp:positionH>
                <wp:positionV relativeFrom="paragraph">
                  <wp:posOffset>1111250</wp:posOffset>
                </wp:positionV>
                <wp:extent cx="2018665" cy="54419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18665" cy="5441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Заказчик: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ОСФР по Республике Карелия 1епбег@ор1г. опе§о. 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19.80000000000001pt;margin-top:87.5pt;width:158.95000000000002pt;height:42.850000000000001pt;z-index:-125829372;mso-wrap-distance-left:9.3499999999999996pt;mso-wrap-distance-top:42.300000000000004pt;mso-wrap-distance-right:9.pt;mso-wrap-distance-bottom:55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Заказчик: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ОСФР по Республике Карелия 1епбег@ор1г. опе§о. ги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238885" distB="0" distL="118745" distR="468630" simplePos="0" relativeHeight="125829383" behindDoc="0" locked="0" layoutInCell="1" allowOverlap="1">
                <wp:simplePos x="0" y="0"/>
                <wp:positionH relativeFrom="page">
                  <wp:posOffset>4061460</wp:posOffset>
                </wp:positionH>
                <wp:positionV relativeFrom="paragraph">
                  <wp:posOffset>1812925</wp:posOffset>
                </wp:positionV>
                <wp:extent cx="1664335" cy="54419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4335" cy="5441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Заявитель: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АО «Московское ПРОП» тГо@шргор.ги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19.80000000000001pt;margin-top:142.75pt;width:131.05000000000001pt;height:42.850000000000001pt;z-index:-125829370;mso-wrap-distance-left:9.3499999999999996pt;mso-wrap-distance-top:97.549999999999997pt;mso-wrap-distance-right:36.8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Заявитель: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АО «Московское ПРОП» тГо@шргор.ги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660"/>
        <w:jc w:val="both"/>
        <w:rPr>
          <w:sz w:val="17"/>
          <w:szCs w:val="17"/>
        </w:rPr>
      </w:pP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ДНИ! VIОНО1ЮЛЬНЛЯ СЛУЖБА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 гимонополыюй службы</w:t>
        <w:br/>
        <w:t>по Республике Карелия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В., ; .л. 1 а, г. 1к;р ..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ро. публ; Л Карелия, 18503)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3278" w:val="left"/>
        </w:tabs>
        <w:bidi w:val="0"/>
        <w:spacing w:before="0" w:after="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 г...: •:й : \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г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с: а/я 243, г. ГК гр'.</w:t>
        <w:tab/>
        <w:t>. 18 5035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тс.т'4. .(8142)78 41-30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с-&lt;. .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: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1: Ю!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п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0/'.4 л \.ги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278" w:val="left"/>
        </w:tabs>
        <w:bidi w:val="0"/>
        <w:spacing w:before="0" w:after="0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1Х1ТОЛЛГ1</w:t>
        <w:tab/>
      </w:r>
      <w:r>
        <w:rPr>
          <w:color w:val="534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I </w:t>
      </w:r>
      <w:r>
        <w:rPr>
          <w:color w:val="534A8A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_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1912" w:val="left"/>
        </w:tabs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регистрации</w:t>
        <w:tab/>
        <w:t>д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Г&gt;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 </w:t>
      </w:r>
      <w:r>
        <w:rPr>
          <w:color w:val="534A8A"/>
          <w:spacing w:val="0"/>
          <w:w w:val="100"/>
          <w:position w:val="0"/>
          <w:shd w:val="clear" w:color="auto" w:fill="auto"/>
          <w:lang w:val="ru-RU" w:eastAsia="ru-RU" w:bidi="ru-RU"/>
        </w:rPr>
        <w:t>МО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1912" w:val="left"/>
          <w:tab w:leader="hyphen" w:pos="3013" w:val="left"/>
          <w:tab w:leader="hyphen" w:pos="3917" w:val="left"/>
        </w:tabs>
        <w:bidi w:val="0"/>
        <w:spacing w:before="0" w:after="12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—</w:t>
      </w:r>
      <w:r>
        <w:rPr>
          <w:color w:val="534A8A"/>
          <w:spacing w:val="0"/>
          <w:w w:val="100"/>
          <w:position w:val="0"/>
          <w:shd w:val="clear" w:color="auto" w:fill="auto"/>
          <w:lang w:val="ru-RU" w:eastAsia="ru-RU" w:bidi="ru-RU"/>
        </w:rPr>
        <w:t>рд лс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 ?.а </w:t>
      </w:r>
      <w:r>
        <w:rPr>
          <w:color w:val="534A8A"/>
          <w:spacing w:val="0"/>
          <w:w w:val="100"/>
          <w:position w:val="0"/>
          <w:shd w:val="clear" w:color="auto" w:fill="auto"/>
          <w:lang w:val="ru-RU" w:eastAsia="ru-RU" w:bidi="ru-RU"/>
        </w:rPr>
        <w:t>;Ч&lt;</w:t>
        <w:tab/>
        <w:t xml:space="preserve">"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—</w:t>
        <w:tab/>
        <w:tab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Н.а№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делу № 010/06/106-555/2024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Петрозаводск Резолютивная часть решения объявлена «09» октября 2024 года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в полном объеме изготовлено «14» октября 2024 года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Карелия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Грущакова Г.А. - заместитель председателя Комиссии, заместитель руководителя - начальник отдела контроля органов власти и закупок Карельского УФАС России;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Суханов М.С. - член Комиссии, заместитель начальника отдела контроля органов власти и закупок Карельского УФАС России;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Ковалева О.В. - член Комиссии, ведущий специалист-эксперт отдела контроля органов власти и закупок Карельского УФАС России,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в режиме видео-конференц-связи представителей: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Заявителя - Балаева Б.В. (копия доверенности в материалах дела);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Заказчика - Перхина Д.С., Кильцовой Г.И., Медведь Н.А., Ряппиевой О.Г. (копии доверенностей в материалах дела),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АО «Московское ПРОП» (вх. от 02.10.2024 № 6044/24) на действия комиссии Заказчика - ОСФР по Республике Карелия при проведении запроса котировок в электронной форме поставку ходунков (извещение № 0306100012424000175) (далее - аукцион) и в результате осуществления внеплановой проверки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Карельское УФАС России 01.10.2024 через Единую информационную систему в сфере закупок поступила жалоба на действия Заказчика при проведении запроса котировок в электронной форме на поставку ходунков.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жалобе Заявитель указывает, что в протоколе подведения итогов определения поставщика (подрядчика, исполнителя) от 01.10.2024 №ИЗК1 комиссией заказчика не указаны положения заявки АО «Московское ПРОП», которые не соответствуют требованиям извещения.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Дополнительно отмечает, что единственная характеристика его заявки, содержащая слова «не менее», относится к качественной характеристике шага возвратно-поступательного движения ходунка при его перемещении, не может являться конкретной (фиксированной), поскольку движение ходунков происходит как раз вследствие изменения угла., с фиксированным углом ходунки будут не работоспособны.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просит признать жалобу обоснованной, обязать Заказчика устранить допущенные нарушения законодательства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представил письменные возражения по доводам жалобы.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Относительно рассматриваемой закупки Комиссией Карельского УФАС России установлены следующие сведения: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7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извещение о проведении запроса котировок размещено на официальном сайте Единой информационной системы в сфере закупок (Ьйр://2акирк1.§оу.ги) 20.09.2024;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5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адрес электронной площадки - Ыф:/Млуду.118-1еп(1ег.ги;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5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номер извещения: 0306100012424000175;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5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объекта закупки - поставка ходунков;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5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способ закупки - запрос котировок в электронной форме;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5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- ОСФР по Республике Карелия;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5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- 400 251,80 рублей;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протоколом подведения итогов определения поставщика (подрядчика, исполнителя) от 01.10.2024 №ИЗК1 на участие в запросе котировок было подано 4 заявки участников, две из которых отклонены комиссией заказчика по причине несоответствия требованиям извещения. Победителем запроса котировок признан участник с идентификационным номером № 117355133 с ценовым предложением 346 685, 00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момент рассмотрения поступившей жалобы государственный контракт не заключен.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Изучив представленные материалы, заслушав пояснения представителей Заявителя и Заказчика, Комиссия Карельского УФАС России признает жалобу необоснованной ввиду следующего.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правилам подпункта «а» пункта 1 части 3 статьи 50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исполните.ля), установленных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частью 2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1-8 части 12 статьи 48 настоящего Федерального закона;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протокола подведения итогов определения поставщика (подрядчика, исполнителя) от 01.10.2024 №ИЗК1 следует, что заявка с идентификационным номером 117346486 (АО «Московское ПРОП») была отклонена на основании пункта 1 части 12 статьи 48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обоснование своего решения комиссия Заказчика в протоколе указала, что участником при описании характеристик предлагаемого товара, соответствующих показателям, установленным в описании объекта закупки не допускается использование формулировок «должен» / «должен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быть» / «должно быть», «не менее» / «не более», «менее» / «более», «не хуже» / «лучше», «выше» / «ниже», «меньше» / «больше», «&gt;» / «&lt;», «&lt;» / «&gt;», «превышает» / «не превышает», «превышать» / «не превышать», «свыше», «минимальное», «максимальное», «допускается», «не допускается», «допустимый», «эквивалент», «аналог», «аналогичного типа», «ранее», «типа», «не шире», «не ранее», «не хуже», «хуже», «не уже», «уже», «ориентировочно», «приблизительно» (и их производные) и т. д.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требований пункта 2 части 17 статьи 48 Закона о контрактной системе протокол подведения итогов определения поставщика (подрядчика, исполнителя), в том числе должен содержать информацию об отклонении заявки на участие в закупке по основаниям, предусмотренным настоящим Федеральным законом, с обоснованием такого решения и указанием положений настоящего Федерального закона, извещения об осуществлении закупки, которым не соответствует такая заявка, положений заявки на участие в закупке, которые не соответствуют извещению об осуществлении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 в нарушение требований пункта 2 части 17 статьи 48 Закона о контрактной системе протокол подведения итогов определения поставщика (подрядчика, исполнителя) от 01.10.2024 №ИЗК1 не содержит указания о том, какой именно показатель предлагаемого к поставке товара не соответствует требованиям извещения о проведении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письменным пояснениям заказчика от 07.10.2024 указание в заявке № 117346486 функциональных характеристик товара ходунков стандартных, складных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«Шаг возвратно-поступательного движения ходунка при его перемещении составляет не менее 90 градусов максимальной ширины ходунка»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требованиям извещения не удовлетворяет, участник закупки пренебрег требованиями в инструкции и вместо конкретного значения товара указал диапазонное значение, что недопустимо в силу прямого указания на это в инструкции по заполнению заявки.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по мнению заказчика в заявке № 117346486 был предложен товар со значениями характеристик, несоответствующих установленным в извещении № 0306100012424000175 требованиям.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Вместе с тем, Комиссией Карельского УФАС России установлено, что в заявке АО «Московское ПРОП» дословно приведена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качественная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характеристика товара, а именно: Устройство регулирования высоты имеет отчетливые отметки с указанием максимально допустимого удлинения. Шаг возвратно-поступательного движения ходунка при его перемещении составляет не менее 90 градусов максимальной ширины ходунка. Ходунки имеют складную конструкцию.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Аналогичное описание закреплено в Методических рекомендациях Министерства труда и социальной защиты РФ, которыми руководствуется заказчик, а также в ГОСТ Р ИСО 11199-1-2022.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Карельского УФАС России также установлено, что в составе заявки АО «Московское ПРОП», а также заявки победителя аукциона, на рассматриваемое медицинское изделие представлено одно и тоже регистрационное удостоверение от 17.02.2014 № ФС32009/05009 на медицинское изделие.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свою очередь, заказчиком не было сообщено Комиссии Карельского УФАС России каким образом можно проверить рассматриваемую характеристику на стадии рассмотрения заявок участников, поскольку ни регистрационное удостоверение и инструкция к нему, а также паспорта на медицинские изделия такой информации не содержат.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сам заказчик не отрицает того, что АО «Московское ПРОП» ранее уже являлось поставщиком аналогичной продукции для нужд ОСФР по Республике Карелия, в связи с чем при формировании закупки у заявителя было запрошено коммерческое предложение.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000" w:right="509" w:bottom="1158" w:left="108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таких обстоятельствах, с целью устранения указанных нарушений законодательства о контрактной системе и восстановления законных прав и интересов подателя жалобы, Комиссия Карельского УФАС России считает необходимым выдать Заказчику предписание об отмене протокола подведения итогов определения поставщика (подрядчика, исполнителя) от 01.10.2024 №ИЗК1 и повторном рассмотрении заявок участников с учетом настоящего решения.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 и руководствуясь статьями 99 и 106 Закона о контрактной системе, Комиссия Карельского УФАС России по контролю в сфере закупок для государственных и муниципальных нужд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АО «Московское ПРОП» на действия комиссии Заказчика - ОСФР по Республике Карелия при проведении электронного аукциона на поставку ходунков (извещение № 0306100012424000175) обоснованной.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4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действиях комиссии Заказчика установлено нарушение пункта 1 части 12, пункта 2 части 17 статьи 48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6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Выдать Заказчику предписание об устранении нарушений законодательства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1" w:val="left"/>
        </w:tabs>
        <w:bidi w:val="0"/>
        <w:spacing w:before="0" w:after="0" w:line="240" w:lineRule="auto"/>
        <w:ind w:left="0" w:right="0" w:firstLine="580"/>
        <w:jc w:val="both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000" w:right="509" w:bottom="1158" w:left="1081" w:header="572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Передать материалы рассмотрения жалобы АО «Московское ПРОП» должностному лицу Карельского УФАС России для решения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framePr w:w="6988" w:h="227" w:wrap="none" w:vAnchor="text" w:hAnchor="page" w:x="273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i/>
          <w:i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Настоящее решение мом ет быть об баловано в Арбитпрам'ном суде Республики Карелия</w:t>
      </w:r>
    </w:p>
    <w:p>
      <w:pPr>
        <w:pStyle w:val="Style9"/>
        <w:keepNext w:val="0"/>
        <w:keepLines w:val="0"/>
        <w:framePr w:w="3726" w:h="216" w:wrap="none" w:vAnchor="text" w:hAnchor="page" w:x="4387" w:y="2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i/>
          <w:i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в течение 3-х месяцев с момента его принятия.</w:t>
      </w:r>
    </w:p>
    <w:p>
      <w:pPr>
        <w:pStyle w:val="Style2"/>
        <w:keepNext w:val="0"/>
        <w:keepLines w:val="0"/>
        <w:framePr w:w="3823" w:h="850" w:wrap="none" w:vAnchor="text" w:hAnchor="page" w:x="1093" w:y="685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Заместитель председателя Комиссии</w:t>
      </w:r>
    </w:p>
    <w:p>
      <w:pPr>
        <w:pStyle w:val="Style2"/>
        <w:keepNext w:val="0"/>
        <w:keepLines w:val="0"/>
        <w:framePr w:w="3823" w:h="850" w:wrap="none" w:vAnchor="text" w:hAnchor="page" w:x="1093" w:y="6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</w:r>
    </w:p>
    <w:p>
      <w:pPr>
        <w:pStyle w:val="Style27"/>
        <w:keepNext w:val="0"/>
        <w:keepLines w:val="0"/>
        <w:framePr w:w="1714" w:h="356" w:wrap="none" w:vAnchor="text" w:hAnchor="page" w:x="9628" w:y="6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/Г.А. Грущакова</w:t>
      </w:r>
    </w:p>
    <w:p>
      <w:pPr>
        <w:pStyle w:val="Style27"/>
        <w:keepNext w:val="0"/>
        <w:keepLines w:val="0"/>
        <w:framePr w:w="1469" w:h="306" w:wrap="none" w:vAnchor="text" w:hAnchor="page" w:x="9887" w:y="12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М.С. Суханов</w:t>
      </w:r>
    </w:p>
    <w:p>
      <w:pPr>
        <w:pStyle w:val="Style2"/>
        <w:keepNext w:val="0"/>
        <w:keepLines w:val="0"/>
        <w:framePr w:w="2293" w:h="662" w:wrap="none" w:vAnchor="text" w:hAnchor="page" w:x="9074" w:y="1797"/>
        <w:widowControl w:val="0"/>
        <w:shd w:val="clear" w:color="auto" w:fill="auto"/>
        <w:bidi w:val="0"/>
        <w:spacing w:before="0" w:after="0" w:line="276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О.В. Ковалева </w:t>
      </w:r>
      <w:r>
        <w:rPr>
          <w:color w:val="534A8A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</w:t>
      </w:r>
    </w:p>
    <w:p>
      <w:pPr>
        <w:widowControl w:val="0"/>
        <w:spacing w:line="360" w:lineRule="exact"/>
      </w:pPr>
      <w:r>
        <w:drawing>
          <wp:anchor distT="0" distB="0" distL="0" distR="541655" simplePos="0" relativeHeight="62914696" behindDoc="1" locked="0" layoutInCell="1" allowOverlap="1">
            <wp:simplePos x="0" y="0"/>
            <wp:positionH relativeFrom="page">
              <wp:posOffset>4634230</wp:posOffset>
            </wp:positionH>
            <wp:positionV relativeFrom="paragraph">
              <wp:posOffset>255905</wp:posOffset>
            </wp:positionV>
            <wp:extent cx="2035810" cy="115189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2035810" cy="11518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58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36" w:right="640" w:bottom="1004" w:left="97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10030460</wp:posOffset>
              </wp:positionV>
              <wp:extent cx="648970" cy="10541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2024-3576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649999999999999pt;margin-top:789.80000000000007pt;width:51.100000000000001pt;height:8.300000000000000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2024-3576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10024110</wp:posOffset>
              </wp:positionV>
              <wp:extent cx="654050" cy="10541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405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2024-3576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649999999999999pt;margin-top:789.30000000000007pt;width:51.5pt;height:8.3000000000000007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2024-3576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10024110</wp:posOffset>
              </wp:positionV>
              <wp:extent cx="654050" cy="10541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405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2024-3576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649999999999999pt;margin-top:789.30000000000007pt;width:51.5pt;height:8.3000000000000007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2024-3576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5">
    <w:name w:val="Основной текст (6)_"/>
    <w:basedOn w:val="DefaultParagraphFont"/>
    <w:link w:val="Style4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7">
    <w:name w:val="Колонтитул (2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Основной текст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3">
    <w:name w:val="Основной текст (3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5">
    <w:name w:val="Основной текст (4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Основной текст (5)_"/>
    <w:basedOn w:val="DefaultParagraphFont"/>
    <w:link w:val="Style18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28">
    <w:name w:val="Подпись к картинке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4">
    <w:name w:val="Основной текст (6)"/>
    <w:basedOn w:val="Normal"/>
    <w:link w:val="CharStyle5"/>
    <w:pPr>
      <w:widowControl w:val="0"/>
      <w:shd w:val="clear" w:color="auto" w:fill="auto"/>
      <w:ind w:left="1380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6">
    <w:name w:val="Колонтитул (2)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Основной текст (2)"/>
    <w:basedOn w:val="Normal"/>
    <w:link w:val="CharStyle10"/>
    <w:pPr>
      <w:widowControl w:val="0"/>
      <w:shd w:val="clear" w:color="auto" w:fill="auto"/>
      <w:ind w:left="5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auto"/>
      <w:spacing w:line="25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auto"/>
      <w:spacing w:after="60" w:line="180" w:lineRule="auto"/>
      <w:ind w:firstLine="3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auto"/>
      <w:ind w:firstLine="360"/>
    </w:pPr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spacing w:after="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7">
    <w:name w:val="Подпись к картинке"/>
    <w:basedOn w:val="Normal"/>
    <w:link w:val="CharStyle28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/Relationships>
</file>