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74520" distL="1116965" distR="1108075"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772795</wp:posOffset>
                </wp:positionH>
                <wp:positionV relativeFrom="paragraph">
                  <wp:posOffset>728980</wp:posOffset>
                </wp:positionV>
                <wp:extent cx="2529840" cy="1771015"/>
                <wp:wrapSquare wrapText="right"/>
                <wp:docPr id="3" name="Shape 3"/>
                <a:graphic xmlns:a="http://schemas.openxmlformats.org/drawingml/2006/main">
                  <a:graphicData uri="http://schemas.microsoft.com/office/word/2010/wordprocessingShape">
                    <wps:wsp>
                      <wps:cNvSpPr txBox="1"/>
                      <wps:spPr>
                        <a:xfrm>
                          <a:ext cx="2529840" cy="177101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color w:val="4360A4"/>
                                <w:spacing w:val="0"/>
                                <w:w w:val="100"/>
                                <w:position w:val="0"/>
                                <w:shd w:val="clear" w:color="auto" w:fill="auto"/>
                                <w:lang w:val="ru-RU" w:eastAsia="ru-RU" w:bidi="ru-RU"/>
                              </w:rPr>
                              <w:t>УПРАВЛЕНИЕ</w:t>
                              <w:br/>
                              <w:t>Федеральной антимонопольной службы</w:t>
                              <w:br/>
                              <w:t>по Республике Ингушетия</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Победы, 3, корп. «С»</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г. Назрань, 386102</w:t>
                              <w:br/>
                              <w:t>телефакс (8732) 22-87-28</w:t>
                              <w:br/>
                              <w:t>е-тай: 1о06@Га8.§оу.ги</w:t>
                            </w:r>
                          </w:p>
                          <w:p>
                            <w:pPr>
                              <w:pStyle w:val="Style5"/>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color w:val="4360A4"/>
                                <w:spacing w:val="0"/>
                                <w:w w:val="100"/>
                                <w:position w:val="0"/>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0.850000000000001pt;margin-top:57.399999999999999pt;width:199.20000000000002pt;height:139.45000000000002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color w:val="4360A4"/>
                          <w:spacing w:val="0"/>
                          <w:w w:val="100"/>
                          <w:position w:val="0"/>
                          <w:shd w:val="clear" w:color="auto" w:fill="auto"/>
                          <w:lang w:val="ru-RU" w:eastAsia="ru-RU" w:bidi="ru-RU"/>
                        </w:rPr>
                        <w:t>УПРАВЛЕНИЕ</w:t>
                        <w:br/>
                        <w:t>Федеральной антимонопольной службы</w:t>
                        <w:br/>
                        <w:t>по Республике Ингушетия</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Победы, 3, корп. «С»</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г. Назрань, 386102</w:t>
                        <w:br/>
                        <w:t>телефакс (8732) 22-87-28</w:t>
                        <w:br/>
                        <w:t>е-тай: 1о06@Га8.§оу.ги</w:t>
                      </w:r>
                    </w:p>
                    <w:p>
                      <w:pPr>
                        <w:pStyle w:val="Style5"/>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color w:val="4360A4"/>
                          <w:spacing w:val="0"/>
                          <w:w w:val="100"/>
                          <w:position w:val="0"/>
                          <w:shd w:val="clear" w:color="auto" w:fill="auto"/>
                          <w:lang w:val="ru-RU" w:eastAsia="ru-RU" w:bidi="ru-RU"/>
                        </w:rPr>
                        <w:tab/>
                        <w:t xml:space="preserve"> №</w:t>
                        <w:tab/>
                      </w:r>
                    </w:p>
                  </w:txbxContent>
                </v:textbox>
                <w10:wrap type="square" side="right" anchorx="page"/>
              </v:shape>
            </w:pict>
          </mc:Fallback>
        </mc:AlternateContent>
      </w:r>
      <w:r>
        <w:drawing>
          <wp:anchor distT="165100" distB="0" distL="114300" distR="114300" simplePos="0" relativeHeight="125829381" behindDoc="0" locked="0" layoutInCell="1" allowOverlap="1">
            <wp:simplePos x="0" y="0"/>
            <wp:positionH relativeFrom="page">
              <wp:posOffset>717550</wp:posOffset>
            </wp:positionH>
            <wp:positionV relativeFrom="paragraph">
              <wp:posOffset>9262745</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p>
    <w:p>
      <w:pPr>
        <w:pStyle w:val="Style8"/>
        <w:keepNext w:val="0"/>
        <w:keepLines w:val="0"/>
        <w:widowControl w:val="0"/>
        <w:shd w:val="clear" w:color="auto" w:fill="auto"/>
        <w:bidi w:val="0"/>
        <w:spacing w:before="0" w:after="0" w:line="240" w:lineRule="auto"/>
        <w:ind w:left="1040" w:right="0" w:firstLine="0"/>
        <w:jc w:val="left"/>
        <w:rPr>
          <w:sz w:val="28"/>
          <w:szCs w:val="28"/>
        </w:rPr>
      </w:pPr>
      <w:r>
        <w:rPr>
          <w:color w:val="000000"/>
          <w:spacing w:val="0"/>
          <w:w w:val="100"/>
          <w:position w:val="0"/>
          <w:sz w:val="28"/>
          <w:szCs w:val="28"/>
          <w:shd w:val="clear" w:color="auto" w:fill="auto"/>
          <w:lang w:val="ru-RU" w:eastAsia="ru-RU" w:bidi="ru-RU"/>
        </w:rPr>
        <w:t>ГУМЕРОВ РЕНАТ ФЛУНОВИЧ 420138, Республика Татарстан (Татарстан), Г. Казань, Абубекира Терегулова, 20а, 97</w:t>
      </w:r>
    </w:p>
    <w:p>
      <w:pPr>
        <w:pStyle w:val="Style8"/>
        <w:keepNext w:val="0"/>
        <w:keepLines w:val="0"/>
        <w:widowControl w:val="0"/>
        <w:shd w:val="clear" w:color="auto" w:fill="auto"/>
        <w:bidi w:val="0"/>
        <w:spacing w:before="0" w:after="280" w:line="240" w:lineRule="auto"/>
        <w:ind w:left="1040" w:right="0" w:firstLine="0"/>
        <w:jc w:val="left"/>
        <w:rPr>
          <w:sz w:val="28"/>
          <w:szCs w:val="28"/>
        </w:rPr>
      </w:pPr>
      <w:r>
        <w:rPr>
          <w:color w:val="000000"/>
          <w:spacing w:val="0"/>
          <w:w w:val="100"/>
          <w:position w:val="0"/>
          <w:sz w:val="28"/>
          <w:szCs w:val="28"/>
          <w:shd w:val="clear" w:color="auto" w:fill="auto"/>
          <w:lang w:val="ru-RU" w:eastAsia="ru-RU" w:bidi="ru-RU"/>
        </w:rPr>
        <w:t>Го1опйу600@уапдех.ги</w:t>
      </w:r>
    </w:p>
    <w:p>
      <w:pPr>
        <w:pStyle w:val="Style8"/>
        <w:keepNext w:val="0"/>
        <w:keepLines w:val="0"/>
        <w:widowControl w:val="0"/>
        <w:shd w:val="clear" w:color="auto" w:fill="auto"/>
        <w:bidi w:val="0"/>
        <w:spacing w:before="0" w:after="0" w:line="240" w:lineRule="auto"/>
        <w:ind w:left="1040" w:right="0" w:firstLine="0"/>
        <w:jc w:val="left"/>
        <w:rPr>
          <w:sz w:val="28"/>
          <w:szCs w:val="28"/>
        </w:rPr>
      </w:pPr>
      <w:r>
        <w:rPr>
          <w:color w:val="000000"/>
          <w:spacing w:val="0"/>
          <w:w w:val="100"/>
          <w:position w:val="0"/>
          <w:sz w:val="28"/>
          <w:szCs w:val="28"/>
          <w:shd w:val="clear" w:color="auto" w:fill="auto"/>
          <w:lang w:val="ru-RU" w:eastAsia="ru-RU" w:bidi="ru-RU"/>
        </w:rPr>
        <w:t>Государственное бюджетное учреждение «Ингушская республиканская клиническая больница» им. А.О. Ахушкова» 386106, Республика Ингушетия, г. Назрань, тер Центральный округ, ул.</w:t>
      </w:r>
    </w:p>
    <w:p>
      <w:pPr>
        <w:pStyle w:val="Style8"/>
        <w:keepNext w:val="0"/>
        <w:keepLines w:val="0"/>
        <w:widowControl w:val="0"/>
        <w:shd w:val="clear" w:color="auto" w:fill="auto"/>
        <w:bidi w:val="0"/>
        <w:spacing w:before="0" w:after="280" w:line="240" w:lineRule="auto"/>
        <w:ind w:left="5320" w:right="0" w:firstLine="0"/>
        <w:jc w:val="left"/>
        <w:rPr>
          <w:sz w:val="28"/>
          <w:szCs w:val="28"/>
        </w:rPr>
      </w:pPr>
      <w:r>
        <w:rPr>
          <w:color w:val="000000"/>
          <w:spacing w:val="0"/>
          <w:w w:val="100"/>
          <w:position w:val="0"/>
          <w:sz w:val="28"/>
          <w:szCs w:val="28"/>
          <w:shd w:val="clear" w:color="auto" w:fill="auto"/>
          <w:lang w:val="ru-RU" w:eastAsia="ru-RU" w:bidi="ru-RU"/>
        </w:rPr>
        <w:t>Х.Б.Муталиева, д.11 йкЪхакирИ@тай.ги, гкЪ@тдо^ги</w:t>
      </w:r>
    </w:p>
    <w:p>
      <w:pPr>
        <w:pStyle w:val="Style8"/>
        <w:keepNext w:val="0"/>
        <w:keepLines w:val="0"/>
        <w:widowControl w:val="0"/>
        <w:shd w:val="clear" w:color="auto" w:fill="auto"/>
        <w:bidi w:val="0"/>
        <w:spacing w:before="0" w:after="280" w:line="240" w:lineRule="auto"/>
        <w:ind w:left="5320" w:right="0" w:firstLine="0"/>
        <w:jc w:val="left"/>
        <w:rPr>
          <w:sz w:val="28"/>
          <w:szCs w:val="28"/>
        </w:rPr>
      </w:pPr>
      <w:r>
        <w:rPr>
          <w:color w:val="000000"/>
          <w:spacing w:val="0"/>
          <w:w w:val="100"/>
          <w:position w:val="0"/>
          <w:sz w:val="28"/>
          <w:szCs w:val="28"/>
          <w:shd w:val="clear" w:color="auto" w:fill="auto"/>
          <w:lang w:val="ru-RU" w:eastAsia="ru-RU" w:bidi="ru-RU"/>
        </w:rPr>
        <w:t>АО «ЕЭТП» ко@го8екогд.ги</w:t>
      </w:r>
    </w:p>
    <w:p>
      <w:pPr>
        <w:pStyle w:val="Style8"/>
        <w:keepNext w:val="0"/>
        <w:keepLines w:val="0"/>
        <w:widowControl w:val="0"/>
        <w:shd w:val="clear" w:color="auto" w:fill="auto"/>
        <w:bidi w:val="0"/>
        <w:spacing w:before="0" w:after="1360" w:line="240" w:lineRule="auto"/>
        <w:ind w:left="5320" w:right="0" w:firstLine="0"/>
        <w:jc w:val="left"/>
        <w:rPr>
          <w:sz w:val="28"/>
          <w:szCs w:val="28"/>
        </w:rPr>
      </w:pPr>
      <w:r>
        <w:rPr>
          <w:color w:val="000000"/>
          <w:spacing w:val="0"/>
          <w:w w:val="100"/>
          <w:position w:val="0"/>
          <w:sz w:val="28"/>
          <w:szCs w:val="28"/>
          <w:shd w:val="clear" w:color="auto" w:fill="auto"/>
          <w:lang w:val="ru-RU" w:eastAsia="ru-RU" w:bidi="ru-RU"/>
        </w:rPr>
        <w:t>Комитет государственного заказа Республики Ингушетия хака7П@тай.ги</w:t>
      </w:r>
    </w:p>
    <w:p>
      <w:pPr>
        <w:pStyle w:val="Style8"/>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ru-RU" w:eastAsia="ru-RU" w:bidi="ru-RU"/>
        </w:rPr>
        <w:t>РЕШЕНИЕ</w:t>
      </w:r>
    </w:p>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делу № 006/06/105-517/2024 о нарушении</w:t>
        <w:br/>
        <w:t>законодательства о контрактной системе</w:t>
      </w:r>
    </w:p>
    <w:p>
      <w:pPr>
        <w:pStyle w:val="Style8"/>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ru-RU" w:eastAsia="ru-RU" w:bidi="ru-RU"/>
        </w:rPr>
        <w:t>г. Назрань</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Резолютивная часть решения объявлена 10 октября 2024 года</w:t>
      </w:r>
    </w:p>
    <w:p>
      <w:pPr>
        <w:pStyle w:val="Style8"/>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В полном объеме решение изготовлено 14 октября 2024 года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Ингушетия (далее - Управление) по контролю в сфере закупок (далее - Комиссия Управления) в составе:</w:t>
      </w:r>
    </w:p>
    <w:p>
      <w:pPr>
        <w:pStyle w:val="Style8"/>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Председатель комиссии: Б.Б. Точиев - руководитель Управления;</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А.А. Аушев - начальник отдела контроля торгов Управления;</w:t>
      </w:r>
    </w:p>
    <w:p>
      <w:pPr>
        <w:pStyle w:val="Style8"/>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А.Б. Торшкоев - ведущий специалист-эксперт Управления.</w:t>
      </w:r>
    </w:p>
    <w:p>
      <w:pPr>
        <w:pStyle w:val="Style8"/>
        <w:keepNext w:val="0"/>
        <w:keepLines w:val="0"/>
        <w:widowControl w:val="0"/>
        <w:shd w:val="clear" w:color="auto" w:fill="auto"/>
        <w:bidi w:val="0"/>
        <w:spacing w:before="0" w:after="280" w:line="240" w:lineRule="auto"/>
        <w:ind w:left="0" w:right="0" w:firstLine="720"/>
        <w:jc w:val="both"/>
        <w:sectPr>
          <w:footerReference w:type="default" r:id="rId9"/>
          <w:footnotePr>
            <w:pos w:val="pageBottom"/>
            <w:numFmt w:val="decimal"/>
            <w:numRestart w:val="continuous"/>
          </w:footnotePr>
          <w:pgSz w:w="11900" w:h="16840"/>
          <w:pgMar w:top="284" w:right="555" w:bottom="1313" w:left="1111" w:header="0" w:footer="3" w:gutter="0"/>
          <w:pgNumType w:start="1"/>
          <w:cols w:space="720"/>
          <w:noEndnote/>
          <w:rtlGutter w:val="0"/>
          <w:docGrid w:linePitch="360"/>
        </w:sectPr>
      </w:pPr>
      <w:r>
        <w:rPr>
          <w:color w:val="000000"/>
          <w:spacing w:val="0"/>
          <w:w w:val="100"/>
          <w:position w:val="0"/>
          <w:shd w:val="clear" w:color="auto" w:fill="auto"/>
          <w:lang w:val="ru-RU" w:eastAsia="ru-RU" w:bidi="ru-RU"/>
        </w:rPr>
        <w:t>В присутствии представителя заказчика - ГБУ «ИРКБ имени А.О. Ахушкова»</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(далее - Заказчик) - А.Г. Арчакова (по доверенности);</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отсутствии представителей:</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заявителя жалобы: ИП Гумеров Ренат Флунович - (далее - Заявитель);</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уполномоченного органа - Комитета государственного заказа Республики Ингушетия (далее - Уполномоченный орган);</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Все стороны уведомлены надлежащим образом, заявлений и ходатайств не поступало.</w:t>
      </w:r>
    </w:p>
    <w:p>
      <w:pPr>
        <w:pStyle w:val="Style8"/>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Заявителя на действия (бездействия) Заказчика и Уполномоченного органа) при проведении процедуры закупки № 0114500000824001963 (объект закупки: Поставка медицинских изделий, ввод в эксплуатацию медицинских изделий, обучение правилам эксплуатации специалистов, эксплуатирующих медицинское изделие, для ГБУ "Ингушская республиканская клиническая больница имени А.О. Ахушкова".) (далее - Закупка),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Уполномоченным органом в единой информационной системе в сети Интернет по размещению информации о размещении заказов ххлхлу./акиркгдоу.ги (далее - ЕИС) размещено извещение о проведении Закупки.</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жалобе при размещении Закупки допущены следующие нарушения:</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не установлено ограничение согласно статьи 14 Закона о контрактной системе;</w:t>
      </w:r>
    </w:p>
    <w:p>
      <w:pPr>
        <w:pStyle w:val="Style8"/>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2) описание объекта Закупки неправомерно составлено под конкретного производителя.</w:t>
      </w:r>
    </w:p>
    <w:p>
      <w:pPr>
        <w:pStyle w:val="Style8"/>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09.10.2024 Комиссией Управления был объявлен перерыв в рассмотрении жалобы и проведении внеплановой проверки до 10.10.2024.</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8"/>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об осуществлении закупки размещено в ЕИС - 26.09.2024;</w:t>
      </w:r>
    </w:p>
    <w:p>
      <w:pPr>
        <w:pStyle w:val="Style8"/>
        <w:keepNext w:val="0"/>
        <w:keepLines w:val="0"/>
        <w:widowControl w:val="0"/>
        <w:numPr>
          <w:ilvl w:val="0"/>
          <w:numId w:val="1"/>
        </w:numPr>
        <w:shd w:val="clear" w:color="auto" w:fill="auto"/>
        <w:tabs>
          <w:tab w:pos="111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способ определения поставщика (подрядчика, исполнителя) - электронный аукцион;</w:t>
      </w:r>
    </w:p>
    <w:p>
      <w:pPr>
        <w:pStyle w:val="Style8"/>
        <w:keepNext w:val="0"/>
        <w:keepLines w:val="0"/>
        <w:widowControl w:val="0"/>
        <w:numPr>
          <w:ilvl w:val="0"/>
          <w:numId w:val="1"/>
        </w:numPr>
        <w:shd w:val="clear" w:color="auto" w:fill="auto"/>
        <w:tabs>
          <w:tab w:pos="11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- 9 404 059,50 рублей;</w:t>
      </w:r>
    </w:p>
    <w:p>
      <w:pPr>
        <w:pStyle w:val="Style8"/>
        <w:keepNext w:val="0"/>
        <w:keepLines w:val="0"/>
        <w:widowControl w:val="0"/>
        <w:numPr>
          <w:ilvl w:val="0"/>
          <w:numId w:val="1"/>
        </w:numPr>
        <w:shd w:val="clear" w:color="auto" w:fill="auto"/>
        <w:tabs>
          <w:tab w:pos="11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подачи заявок - 07.10.2024 09:00;</w:t>
      </w:r>
    </w:p>
    <w:p>
      <w:pPr>
        <w:pStyle w:val="Style8"/>
        <w:keepNext w:val="0"/>
        <w:keepLines w:val="0"/>
        <w:widowControl w:val="0"/>
        <w:numPr>
          <w:ilvl w:val="0"/>
          <w:numId w:val="1"/>
        </w:numPr>
        <w:shd w:val="clear" w:color="auto" w:fill="auto"/>
        <w:tabs>
          <w:tab w:pos="1112"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- 08.10.2024.</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Управления пришла к следующим выводам.</w:t>
      </w:r>
    </w:p>
    <w:p>
      <w:pPr>
        <w:pStyle w:val="Style8"/>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 xml:space="preserve">Согласно части 1 статьи 49 Закона о контрактной системе электронный аукцион начинается с размещения в единой информационной системе извещения об </w:t>
      </w:r>
      <w:r>
        <w:rPr>
          <w:color w:val="000000"/>
          <w:spacing w:val="0"/>
          <w:w w:val="100"/>
          <w:position w:val="0"/>
          <w:shd w:val="clear" w:color="auto" w:fill="auto"/>
          <w:lang w:val="ru-RU" w:eastAsia="ru-RU" w:bidi="ru-RU"/>
        </w:rPr>
        <w:t>осуществлении закупки.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15 части 1 статьи 42 Закона о контрактной системе предусмотрено, что извещение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(часть 3 статьи 14 Закона о контрактной системе).</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извещению Закупки объектом закупки является поставка светильника операционного. Наименование объекта закупки установлено в соответствии с позицией 32.50.50.190-00002657 Каталога товаров, работ, услуг для обеспечения государственных и муниципальных нужд.</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содержания жалобы следует, что Заказчиком неправомерно не установлены ограничения согласно Постановлению №878.</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даны пояснения, согласно которым к поставке требуется медицинское оборудование соответствующее коду 129370 (Система для освещения операционной) по номенклатурной классификации медицинских изделий по видам (далее — НКМИ). Указанные обстоятельства подтверждающие сведениями, размещенными в реестре медицинских изделий Росздравнадзора, в том числе в отношении медицинского изделия Мпккау.</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Комиссией Управления установлено, что в перечне, утвержденном Постановлением №878, отсутствует позиция, соответствующая медицинского изделию по коду129370 НКМИ.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Более того, согласно извещению Закупки, поставляемое оборудование соответствует позиции 32.50.50.190-00002657 Каталога товаров, работ, услуг для обеспечения государственных и муниципальных нужд.</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Однако, согласно данной позиции КТРУ при осуществлении закупки настоящего медицинского оборудования указание дополнительных характеристик не запрещено.</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из положений Постановления №878 следует, что в случае поставки товара из перечня, утвержденного постановлением №878, указание дополнительных характеристик запрещено, даже если у заказчика имеется обоснование необходимости их установления.</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совокупности вышеуказанного следует вывод, что при поставке оборудования по объекту Закупки установление ограничений согласно Постановлению №878 не требуется.</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Заказчик правомерно не установил ограничения при размещении извещения Закупки.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Комиссией Управления отмечено, что Заявителем не обеспечена явка своего представителя на рассмотрении жалобы по существу и не даны пояснения каким образом при размещении настоящей закупки могут быть ущемлены его права и законные интересы.</w:t>
      </w:r>
    </w:p>
    <w:p>
      <w:pPr>
        <w:pStyle w:val="Style8"/>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На основании изложенного Комиссией Управления довод жалобы о неправомерном не установлении ограничений в соответствии с положениями Постановления №878 признан необоснованным.</w:t>
      </w:r>
    </w:p>
    <w:p>
      <w:pPr>
        <w:pStyle w:val="Style8"/>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 (часть 1 статьи 9 Закона о контрактной системе).</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Статьей 8 Закона о контрактной системе предусмотрено, что контрактная система в сфере закупок направлена на создание равных условий для обеспечения конкуренции </w:t>
      </w:r>
      <w:r>
        <w:rPr>
          <w:color w:val="000000"/>
          <w:spacing w:val="0"/>
          <w:w w:val="100"/>
          <w:position w:val="0"/>
          <w:shd w:val="clear" w:color="auto" w:fill="auto"/>
          <w:lang w:val="ru-RU" w:eastAsia="ru-RU" w:bidi="ru-RU"/>
        </w:rPr>
        <w:t>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настоящего Федерального закона.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части 1 статьи 33 Закона о контрактной системе предусмотрено, что заказчик при описании объекта закупки должен руководствоваться, в числе прочего, следующими правилами:</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жалобе описанию объекта Закупки соответствуют характеристики товара конкретного производителя — ЗАО Завод Эма.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Заявителем не представлен сравнительный анализ среди изделий иных производителей, из которого также следует вывод о наличии на рынке оборудования единственного производителя, соответствующего установленным в техническом задании характеристикам.</w:t>
      </w:r>
      <w:r>
        <w:br w:type="page"/>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Заказчиком на рассмотрении жалобы по существу предоставлены документы и сведения, подтверждающие, что описанию объекта закупки соответствуют характеристикам нескольких производителей (сравнительный анализ).</w:t>
      </w:r>
    </w:p>
    <w:p>
      <w:pPr>
        <w:pStyle w:val="Style8"/>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Комиссией Управления второй довод жалобы признан необоснованным.</w:t>
      </w:r>
    </w:p>
    <w:p>
      <w:pPr>
        <w:pStyle w:val="Style8"/>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 ходе проведения внеплановой проверки Комиссией Управления нарушений требований Закона о контрактной системе не выявлено.</w:t>
      </w:r>
    </w:p>
    <w:p>
      <w:pPr>
        <w:pStyle w:val="Style8"/>
        <w:keepNext w:val="0"/>
        <w:keepLines w:val="0"/>
        <w:widowControl w:val="0"/>
        <w:shd w:val="clear" w:color="auto" w:fill="auto"/>
        <w:bidi w:val="0"/>
        <w:spacing w:before="0" w:after="80" w:line="240" w:lineRule="auto"/>
        <w:ind w:left="0" w:right="0" w:firstLine="720"/>
        <w:jc w:val="both"/>
      </w:pPr>
      <w:r>
        <w:rPr>
          <w:color w:val="000000"/>
          <w:spacing w:val="0"/>
          <w:w w:val="100"/>
          <w:position w:val="0"/>
          <w:shd w:val="clear" w:color="auto" w:fill="auto"/>
          <w:lang w:val="ru-RU" w:eastAsia="ru-RU" w:bidi="ru-RU"/>
        </w:rPr>
        <w:t>Исходя из изложенного, информации, представленной Заявителем, заказчиком, а также информации, полученной Комиссией Управления при проведении внеплановой проверки, Комиссия, руководствуясь</w:t>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статьями 99</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106</w:t>
      </w:r>
      <w:r>
        <w:rPr>
          <w:color w:val="00008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Закона о контрактной системе,</w:t>
      </w:r>
    </w:p>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РЕШИЛА:</w:t>
      </w:r>
    </w:p>
    <w:p>
      <w:pPr>
        <w:pStyle w:val="Style8"/>
        <w:keepNext w:val="0"/>
        <w:keepLines w:val="0"/>
        <w:widowControl w:val="0"/>
        <w:shd w:val="clear" w:color="auto" w:fill="auto"/>
        <w:bidi w:val="0"/>
        <w:spacing w:before="0" w:after="0" w:line="233" w:lineRule="auto"/>
        <w:ind w:left="0" w:right="0" w:firstLine="720"/>
        <w:jc w:val="both"/>
      </w:pPr>
      <w:r>
        <w:rPr>
          <w:color w:val="000000"/>
          <w:spacing w:val="0"/>
          <w:w w:val="100"/>
          <w:position w:val="0"/>
          <w:sz w:val="28"/>
          <w:szCs w:val="28"/>
          <w:shd w:val="clear" w:color="auto" w:fill="auto"/>
          <w:lang w:val="ru-RU" w:eastAsia="ru-RU" w:bidi="ru-RU"/>
        </w:rPr>
        <w:t xml:space="preserve">1. </w:t>
      </w:r>
      <w:r>
        <w:rPr>
          <w:color w:val="000000"/>
          <w:spacing w:val="0"/>
          <w:w w:val="100"/>
          <w:position w:val="0"/>
          <w:shd w:val="clear" w:color="auto" w:fill="auto"/>
          <w:lang w:val="ru-RU" w:eastAsia="ru-RU" w:bidi="ru-RU"/>
        </w:rPr>
        <w:t>Признать жалобу ИП Гумеров Ренат Флунович необоснованной.</w:t>
      </w:r>
    </w:p>
    <w:p>
      <w:pPr>
        <w:pStyle w:val="Style8"/>
        <w:keepNext w:val="0"/>
        <w:keepLines w:val="0"/>
        <w:widowControl w:val="0"/>
        <w:shd w:val="clear" w:color="auto" w:fill="auto"/>
        <w:bidi w:val="0"/>
        <w:spacing w:before="0" w:after="280" w:line="240" w:lineRule="auto"/>
        <w:ind w:left="0" w:right="0" w:firstLine="720"/>
        <w:jc w:val="both"/>
      </w:pPr>
      <w:r>
        <mc:AlternateContent>
          <mc:Choice Requires="wps">
            <w:drawing>
              <wp:anchor distT="0" distB="591185" distL="114300" distR="147320" simplePos="0" relativeHeight="125829382" behindDoc="0" locked="0" layoutInCell="1" allowOverlap="1">
                <wp:simplePos x="0" y="0"/>
                <wp:positionH relativeFrom="page">
                  <wp:posOffset>5657850</wp:posOffset>
                </wp:positionH>
                <wp:positionV relativeFrom="paragraph">
                  <wp:posOffset>584200</wp:posOffset>
                </wp:positionV>
                <wp:extent cx="859790" cy="243840"/>
                <wp:wrapSquare wrapText="left"/>
                <wp:docPr id="9" name="Shape 9"/>
                <a:graphic xmlns:a="http://schemas.openxmlformats.org/drawingml/2006/main">
                  <a:graphicData uri="http://schemas.microsoft.com/office/word/2010/wordprocessingShape">
                    <wps:wsp>
                      <wps:cNvSpPr txBox="1"/>
                      <wps:spPr>
                        <a:xfrm>
                          <a:ext cx="859790" cy="24384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Б.Б. Точиев</w:t>
                            </w:r>
                          </w:p>
                        </w:txbxContent>
                      </wps:txbx>
                      <wps:bodyPr wrap="none" lIns="0" tIns="0" rIns="0" bIns="0">
                        <a:noAutoFit/>
                      </wps:bodyPr>
                    </wps:wsp>
                  </a:graphicData>
                </a:graphic>
              </wp:anchor>
            </w:drawing>
          </mc:Choice>
          <mc:Fallback>
            <w:pict>
              <v:shape id="_x0000_s1035" type="#_x0000_t202" style="position:absolute;margin-left:445.5pt;margin-top:46.pt;width:67.700000000000003pt;height:19.199999999999999pt;z-index:-125829371;mso-wrap-distance-left:9.pt;mso-wrap-distance-right:11.6pt;mso-wrap-distance-bottom:46.550000000000004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Б.Б. Точиев</w:t>
                      </w:r>
                    </w:p>
                  </w:txbxContent>
                </v:textbox>
                <w10:wrap type="square" side="left" anchorx="page"/>
              </v:shape>
            </w:pict>
          </mc:Fallback>
        </mc:AlternateContent>
      </w:r>
      <w:r>
        <mc:AlternateContent>
          <mc:Choice Requires="wps">
            <w:drawing>
              <wp:anchor distT="594360" distB="0" distL="114300" distR="114300" simplePos="0" relativeHeight="125829384" behindDoc="0" locked="0" layoutInCell="1" allowOverlap="1">
                <wp:simplePos x="0" y="0"/>
                <wp:positionH relativeFrom="page">
                  <wp:posOffset>5657850</wp:posOffset>
                </wp:positionH>
                <wp:positionV relativeFrom="paragraph">
                  <wp:posOffset>1178560</wp:posOffset>
                </wp:positionV>
                <wp:extent cx="892810" cy="240665"/>
                <wp:wrapSquare wrapText="left"/>
                <wp:docPr id="11" name="Shape 11"/>
                <a:graphic xmlns:a="http://schemas.openxmlformats.org/drawingml/2006/main">
                  <a:graphicData uri="http://schemas.microsoft.com/office/word/2010/wordprocessingShape">
                    <wps:wsp>
                      <wps:cNvSpPr txBox="1"/>
                      <wps:spPr>
                        <a:xfrm>
                          <a:ext cx="892810" cy="24066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А.А. Аушев</w:t>
                            </w:r>
                          </w:p>
                        </w:txbxContent>
                      </wps:txbx>
                      <wps:bodyPr wrap="none" lIns="0" tIns="0" rIns="0" bIns="0">
                        <a:noAutoFit/>
                      </wps:bodyPr>
                    </wps:wsp>
                  </a:graphicData>
                </a:graphic>
              </wp:anchor>
            </w:drawing>
          </mc:Choice>
          <mc:Fallback>
            <w:pict>
              <v:shape id="_x0000_s1037" type="#_x0000_t202" style="position:absolute;margin-left:445.5pt;margin-top:92.799999999999997pt;width:70.299999999999997pt;height:18.949999999999999pt;z-index:-125829369;mso-wrap-distance-left:9.pt;mso-wrap-distance-top:46.800000000000004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А.А. Аушев</w:t>
                      </w:r>
                    </w:p>
                  </w:txbxContent>
                </v:textbox>
                <w10:wrap type="square" side="left" anchorx="page"/>
              </v:shape>
            </w:pict>
          </mc:Fallback>
        </mc:AlternateContent>
      </w:r>
      <w:r>
        <w:rPr>
          <w:color w:val="000000"/>
          <w:spacing w:val="0"/>
          <w:w w:val="100"/>
          <w:position w:val="0"/>
          <w:sz w:val="28"/>
          <w:szCs w:val="28"/>
          <w:shd w:val="clear" w:color="auto" w:fill="auto"/>
          <w:lang w:val="ru-RU" w:eastAsia="ru-RU" w:bidi="ru-RU"/>
        </w:rPr>
        <w:t xml:space="preserve">2. </w:t>
      </w:r>
      <w:r>
        <w:rPr>
          <w:color w:val="000000"/>
          <w:spacing w:val="0"/>
          <w:w w:val="100"/>
          <w:position w:val="0"/>
          <w:shd w:val="clear" w:color="auto" w:fill="auto"/>
          <w:lang w:val="ru-RU" w:eastAsia="ru-RU" w:bidi="ru-RU"/>
        </w:rPr>
        <w:t>В соответствии со статьи 106 Закона о контрактной системе направить настоящее решение сторонам.</w:t>
      </w:r>
    </w:p>
    <w:p>
      <w:pPr>
        <w:pStyle w:val="Style8"/>
        <w:keepNext w:val="0"/>
        <w:keepLines w:val="0"/>
        <w:widowControl w:val="0"/>
        <w:shd w:val="clear" w:color="auto" w:fill="auto"/>
        <w:bidi w:val="0"/>
        <w:spacing w:before="0" w:after="580" w:line="240" w:lineRule="auto"/>
        <w:ind w:left="0" w:right="0" w:firstLine="720"/>
        <w:jc w:val="both"/>
      </w:pPr>
      <w:r>
        <w:rPr>
          <w:color w:val="000000"/>
          <w:spacing w:val="0"/>
          <w:w w:val="100"/>
          <w:position w:val="0"/>
          <w:shd w:val="clear" w:color="auto" w:fill="auto"/>
          <w:lang w:val="ru-RU" w:eastAsia="ru-RU" w:bidi="ru-RU"/>
        </w:rPr>
        <w:t>Председатель Комиссии:</w:t>
      </w:r>
    </w:p>
    <w:p>
      <w:pPr>
        <w:pStyle w:val="Style8"/>
        <w:keepNext w:val="0"/>
        <w:keepLines w:val="0"/>
        <w:widowControl w:val="0"/>
        <w:shd w:val="clear" w:color="auto" w:fill="auto"/>
        <w:bidi w:val="0"/>
        <w:spacing w:before="0" w:after="580" w:line="240" w:lineRule="auto"/>
        <w:ind w:left="0" w:right="0" w:firstLine="720"/>
        <w:jc w:val="both"/>
      </w:pPr>
      <w:r>
        <w:rPr>
          <w:color w:val="000000"/>
          <w:spacing w:val="0"/>
          <w:w w:val="100"/>
          <w:position w:val="0"/>
          <w:shd w:val="clear" w:color="auto" w:fill="auto"/>
          <w:lang w:val="ru-RU" w:eastAsia="ru-RU" w:bidi="ru-RU"/>
        </w:rPr>
        <w:t>Члены комиссии:</w:t>
      </w:r>
    </w:p>
    <w:p>
      <w:pPr>
        <w:pStyle w:val="Style8"/>
        <w:keepNext w:val="0"/>
        <w:keepLines w:val="0"/>
        <w:widowControl w:val="0"/>
        <w:shd w:val="clear" w:color="auto" w:fill="auto"/>
        <w:bidi w:val="0"/>
        <w:spacing w:before="0" w:after="5300" w:line="240" w:lineRule="auto"/>
        <w:ind w:left="0" w:right="740" w:firstLine="0"/>
        <w:jc w:val="right"/>
      </w:pPr>
      <w:r>
        <w:rPr>
          <w:color w:val="000000"/>
          <w:spacing w:val="0"/>
          <w:w w:val="100"/>
          <w:position w:val="0"/>
          <w:shd w:val="clear" w:color="auto" w:fill="auto"/>
          <w:lang w:val="ru-RU" w:eastAsia="ru-RU" w:bidi="ru-RU"/>
        </w:rPr>
        <w:t>А.Б. Торшкоев</w:t>
      </w:r>
    </w:p>
    <w:p>
      <w:pPr>
        <w:pStyle w:val="Style5"/>
        <w:keepNext w:val="0"/>
        <w:keepLines w:val="0"/>
        <w:widowControl w:val="0"/>
        <w:shd w:val="clear" w:color="auto" w:fill="auto"/>
        <w:bidi w:val="0"/>
        <w:spacing w:before="0" w:after="420" w:line="240" w:lineRule="auto"/>
        <w:ind w:left="0" w:right="0" w:firstLine="720"/>
        <w:jc w:val="both"/>
      </w:pPr>
      <w:r>
        <w:rPr>
          <w:color w:val="000000"/>
          <w:spacing w:val="0"/>
          <w:w w:val="100"/>
          <w:position w:val="0"/>
          <w:shd w:val="clear" w:color="auto" w:fill="auto"/>
          <w:lang w:val="ru-RU" w:eastAsia="ru-RU" w:bidi="ru-RU"/>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sectPr>
      <w:headerReference w:type="default" r:id="rId10"/>
      <w:footerReference w:type="default" r:id="rId11"/>
      <w:footnotePr>
        <w:pos w:val="pageBottom"/>
        <w:numFmt w:val="decimal"/>
        <w:numRestart w:val="continuous"/>
      </w:footnotePr>
      <w:pgSz w:w="11900" w:h="16840"/>
      <w:pgMar w:top="1710" w:right="538" w:bottom="1374" w:left="110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2024-3369</w:t>
                          </w:r>
                        </w:p>
                      </w:txbxContent>
                    </wps:txbx>
                    <wps:bodyPr wrap="none" lIns="0" tIns="0" rIns="0" bIns="0">
                      <a:spAutoFit/>
                    </wps:bodyPr>
                  </wps:wsp>
                </a:graphicData>
              </a:graphic>
            </wp:anchor>
          </w:drawing>
        </mc:Choice>
        <mc:Fallback>
          <w:pict>
            <v:shape id="_x0000_s1033"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2024-3369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720090</wp:posOffset>
              </wp:positionH>
              <wp:positionV relativeFrom="page">
                <wp:posOffset>10016490</wp:posOffset>
              </wp:positionV>
              <wp:extent cx="648970" cy="100330"/>
              <wp:wrapNone/>
              <wp:docPr id="15" name="Shape 1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2024-3369</w:t>
                          </w:r>
                        </w:p>
                      </w:txbxContent>
                    </wps:txbx>
                    <wps:bodyPr wrap="none" lIns="0" tIns="0" rIns="0" bIns="0">
                      <a:spAutoFit/>
                    </wps:bodyPr>
                  </wps:wsp>
                </a:graphicData>
              </a:graphic>
            </wp:anchor>
          </w:drawing>
        </mc:Choice>
        <mc:Fallback>
          <w:pict>
            <v:shape id="_x0000_s1041" type="#_x0000_t202" style="position:absolute;margin-left:56.700000000000003pt;margin-top:788.7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2024-3369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3917315</wp:posOffset>
              </wp:positionH>
              <wp:positionV relativeFrom="page">
                <wp:posOffset>765810</wp:posOffset>
              </wp:positionV>
              <wp:extent cx="76200" cy="121920"/>
              <wp:wrapNone/>
              <wp:docPr id="13" name="Shape 13"/>
              <a:graphic xmlns:a="http://schemas.openxmlformats.org/drawingml/2006/main">
                <a:graphicData uri="http://schemas.microsoft.com/office/word/2010/wordprocessingShape">
                  <wps:wsp>
                    <wps:cNvSpPr txBox="1"/>
                    <wps:spPr>
                      <a:xfrm>
                        <a:ext cx="76200" cy="12192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8.44999999999999pt;margin-top:60.300000000000004pt;width:6.pt;height:9.5999999999999996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360A4"/>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6"/>
      <w:szCs w:val="26"/>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3)"/>
    <w:basedOn w:val="Normal"/>
    <w:link w:val="CharStyle3"/>
    <w:pPr>
      <w:widowControl w:val="0"/>
      <w:shd w:val="clear" w:color="auto" w:fill="auto"/>
      <w:spacing w:after="160" w:line="283" w:lineRule="auto"/>
      <w:jc w:val="center"/>
    </w:pPr>
    <w:rPr>
      <w:rFonts w:ascii="Times New Roman" w:eastAsia="Times New Roman" w:hAnsi="Times New Roman" w:cs="Times New Roman"/>
      <w:b w:val="0"/>
      <w:bCs w:val="0"/>
      <w:i w:val="0"/>
      <w:iCs w:val="0"/>
      <w:smallCaps w:val="0"/>
      <w:strike w:val="0"/>
      <w:color w:val="4360A4"/>
      <w:sz w:val="16"/>
      <w:szCs w:val="16"/>
      <w:u w:val="none"/>
    </w:rPr>
  </w:style>
  <w:style w:type="paragraph" w:customStyle="1" w:styleId="Style5">
    <w:name w:val="Основной текст (2)"/>
    <w:basedOn w:val="Normal"/>
    <w:link w:val="CharStyle6"/>
    <w:pPr>
      <w:widowControl w:val="0"/>
      <w:shd w:val="clear" w:color="auto" w:fill="auto"/>
      <w:spacing w:after="200"/>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header" Target="header1.xml"/><Relationship Id="rId11" Type="http://schemas.openxmlformats.org/officeDocument/2006/relationships/footer" Target="footer2.xml"/></Relationships>
</file>