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 Н ТИ М ОН О П ОЛ Ь Н А 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  <w:br/>
        <w:t>Федеральной ан &lt; имонопольной службы</w:t>
        <w:br/>
        <w:t>но Республике Карелии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42" w:val="left"/>
          <w:tab w:pos="2106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,</w:t>
        <w:tab/>
        <w:t>1 а, г. Не:; "</w:t>
        <w:tab/>
        <w:t>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?&lt;.&lt;.! , 5- Карелия, 185031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1.. -■••й злргс: а/я243, г. Негре.. ■■ •• ч, 185035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тс&lt;! ...-Л (8142) 78-44-30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397" w:val="left"/>
        </w:tabs>
        <w:bidi w:val="0"/>
        <w:spacing w:before="0" w:after="0" w:line="29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с-п . 4; ь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П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4Г &lt;</w:t>
        <w:tab/>
        <w:t>, 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628" w:val="left"/>
        </w:tabs>
        <w:bidi w:val="0"/>
        <w:spacing w:before="0" w:after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:-А;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&lt;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\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\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7^41^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010/06/106-571/2024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«Межрайонная больница № 1»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хакиртЪ 11 @уапбех.ти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«МПК «ЕЛЕЦ»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33" w:right="2161" w:bottom="1098" w:left="1521" w:header="0" w:footer="3" w:gutter="0"/>
          <w:pgNumType w:start="1"/>
          <w:cols w:num="2" w:space="720" w:equalWidth="0">
            <w:col w:w="3733" w:space="1224"/>
            <w:col w:w="326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трк-е1е18.1ог§1@таИ.ги</w:t>
      </w:r>
    </w:p>
    <w:p>
      <w:pPr>
        <w:widowControl w:val="0"/>
        <w:spacing w:line="158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7" w:right="0" w:bottom="115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№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010/06/106-571/2024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Петрозаводск Резолютивная часть решения объявлена «10» октября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«15» октября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Карельского УФАС России по контролю в сфере закупок для государственных и муниципальных нужд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Грущакова Г.А. - заместитель председателя Комиссии, заместитель руководителя - начальник отдела контроля органов власти и закупок Карельского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Суханов М.С. - член Комиссии, заместитель начальника отдела контроля органов власти и закупок Карельского УФАС России;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Ковалева О.В. - член Комиссии, ведущий специалист-эксперт отдела контроля органов власти и закупок Карельского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71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в режиме видео-конференц-связи представителя заинтересованного лица ООО «Карелмед» Поляковой М.В. (полномочия подтверждены),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«МПК «ЕЛЕЦ» (вх. от 03.10.2024 № 6076/24) на действия Заказчика - ГБУЗ «Межрайонная больница № 1» при проведении электронного аукциона на поставку шприцев общего назначения (извещение № 0306200018824000286) (далее - аукцион) и в результате осуществления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Карельское УФАС России 03.10.2024 поступила жалоба Заявителя на действия Заказчика при проведении электронного аукциона на поставку шприцев общего назначения.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жалобы, действия заказчика в части применения неверной позиции КТРУ и ненадлежащего обоснования применения дополнительных характеристик, является нарушением требований части 1 статьи 33, части 6 статьи 23 Закона о контрактной системе, пунктов 4 и 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1111111111111111IIIIIIII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008.02.2017 № 145.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просит провести внеплановую проверку извещения о проведении аукциона, выдать Заказчику предписание об устранении выявленных нарушений в соответствии с законодательством РФ.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возражениях на жалобу (вх. от 09.10.2024 № 6197-ЭП/24) Заказчик с ее доводами не согласился, просил признать жалобу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 Комиссией Карельского УФАС России установлено следующее: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размещено на официальном сайте Единой информационной системы в сфере закупок (11Цр://2акирк1.§оу.ги) 26.09.2024;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адрес элекгронной площадки - Ыф://\у\у\у.е1р-е18.ги;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номер извещения - 0306200018824000286;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 - поставка шприцев общего назначения;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- ГБУЗ «Межрайонная больница № 1»;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- 503 750, 00 рублей;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7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протокола подведения итогов определения поставщика (подрядчика, исполнителя) от 07.10.2024 №ИЭА1 следует, что на участие в аукционе были поданы 3 заявки, две из которых отклонены по причине не соответствия требованиям извещения.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поступившей жалобы государственный контракт не заключен.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580"/>
        <w:jc w:val="both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материалы, Комиссия Карельского УФАС России пришла к следующим выводам.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описание объекта закупки в соответствии со статьей 33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1 статьи 33 Закона о контрактной системе предусмотрено использование заказчиками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2 статьи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14 части 3 статьи 4 Закона о контрактной системе предусмотрено формирование и ведение в единой информационной системе каталога товаров, работ, услуг для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5 статьи 23 Закона о контрактной системе, формирование и ведение в ЕИС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6 статьи 23 Закона о контрактной системе предусмотрено,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РФ от 08.02.2017 № 145 утверждены Правила использования каталога товаров, работ, услуг для обеспечения государственных и муниципальных нужд (далее - Правила №145).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 Правил №145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с указанной в ней даты начала обязательного применения. При этом заказчик обязан при осуществлении закупки испопьзовать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2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6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Правил №145 предусмотрено,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 (за исключением случаев, под которые рассматриваемая закупка не подпадает).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6 Правил №145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Карельского УФАС России установлено, что согласно извещению о проведении электронного аукциона и Описанию объекта закупки по товарной позиции 1 Заказчиком закупаются медицинские изделия со следующими характеристиками:</w:t>
      </w:r>
    </w:p>
    <w:tbl>
      <w:tblPr>
        <w:tblOverlap w:val="never"/>
        <w:jc w:val="center"/>
        <w:tblLayout w:type="fixed"/>
      </w:tblPr>
      <w:tblGrid>
        <w:gridCol w:w="1156"/>
        <w:gridCol w:w="1426"/>
        <w:gridCol w:w="1548"/>
        <w:gridCol w:w="1145"/>
        <w:gridCol w:w="2729"/>
        <w:gridCol w:w="2239"/>
      </w:tblGrid>
      <w:tr>
        <w:trPr>
          <w:trHeight w:val="864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Код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Наименование по КТРУ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параметра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Инструкция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Обоснование характеристик</w:t>
            </w:r>
          </w:p>
        </w:tc>
      </w:tr>
      <w:tr>
        <w:trPr>
          <w:trHeight w:val="21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14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32.50.13.11 0-00004565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Шприц обще10 назначения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8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Возможность соединения с катетером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Нет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участнике&gt;м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770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Градуированный объем шприца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характерно1ики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1170"/>
        <w:gridCol w:w="1426"/>
        <w:gridCol w:w="1559"/>
        <w:gridCol w:w="1145"/>
        <w:gridCol w:w="2704"/>
        <w:gridCol w:w="2225"/>
      </w:tblGrid>
      <w:tr>
        <w:trPr>
          <w:trHeight w:val="74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Игла в комплекте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Одна и более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Указывают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677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Коннектор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Луер Лок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участник!»м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 соответствии с КТРУ</w:t>
            </w:r>
          </w:p>
        </w:tc>
      </w:tr>
      <w:tr>
        <w:trPr>
          <w:trHeight w:val="25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tabs>
                <w:tab w:leader="underscore" w:pos="6426" w:val="left"/>
              </w:tabs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ab/>
            </w:r>
          </w:p>
        </w:tc>
      </w:tr>
      <w:tr>
        <w:trPr>
          <w:trHeight w:val="521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38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Механизм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защиты от случайного укола иглой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Дополните льный прозрачный цилиндр, расположен ный поверх цилиндра шприца.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После инъекции дополнител ьный цилиндр смещается в вверх, по направлени ю к игле, блокируете я и безвозвратн о фиксирует иглу внутри цилиндра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Для минимизации рисков случайною укола иглой после проведения инъекций необследованным пациентам и пациентам с ВИЧ инфекцией</w:t>
            </w:r>
          </w:p>
        </w:tc>
      </w:tr>
      <w:tr>
        <w:trPr>
          <w:trHeight w:val="7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Цена деления градуировочной шкалы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&lt;0,2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Указывают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 соответствии с п. 9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ГОСТ 180 7886-1-2011</w:t>
            </w:r>
          </w:p>
        </w:tc>
      </w:tr>
      <w:tr>
        <w:trPr>
          <w:trHeight w:val="911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Вместимость между линиями градуировки с числами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&lt;0,5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Указывают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В соответствии с п. 9</w:t>
            </w:r>
          </w:p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ГОСТ 180 7886-1-2011</w:t>
            </w:r>
          </w:p>
        </w:tc>
      </w:tr>
      <w:tr>
        <w:trPr>
          <w:trHeight w:val="64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Стерильность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Наличие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м&lt; &gt;жет изменяться участник!&gt;м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 xml:space="preserve">Для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ru-RU" w:eastAsia="ru-RU" w:bidi="ru-RU"/>
              </w:rPr>
              <w:t xml:space="preserve">ВОЗМОЖНОСТИ </w:t>
            </w: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использования по назначению</w:t>
            </w:r>
          </w:p>
        </w:tc>
      </w:tr>
      <w:tr>
        <w:trPr>
          <w:trHeight w:val="148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Тип шприца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Трехы &gt;мпо ненгный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Значение характеристики не М( &gt;жсг изменяться участии к&lt;&gt;м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center"/>
              <w:rPr>
                <w:sz w:val="17"/>
                <w:szCs w:val="17"/>
              </w:rPr>
            </w:pPr>
            <w:r>
              <w:rPr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ru-RU" w:eastAsia="ru-RU" w:bidi="ru-RU"/>
              </w:rPr>
              <w:t>Для снижения трения поршня о цилиндр и исключения возможности сдирания микрочастиц полипропилена со стенок цилиндра и попадания их в организм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Исходя из возражений Заказчика на жалобу, при установлении дополнительных характеристик, не предусмотренных соответствующей позиции КТРУ, Заказчик руководствовался документами национальной системой стандартизации, в том числе ГОСТ 130 7886-1-2011 «Межгосударственный стандарт.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Шприцы с устройством, препятствующим их повторному применению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который уже в самом названии содержит указание на механизм предотвращения повторного использования, при этом не устанавливает его конкретный тип и не ограничивает Заказчика в описании таких механизмов.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также отмечает, что каждая из установленных характеристик вызвана потребностью медицинского учреждения, которая обусловлена спецификой его деятельности. С целью предоставления потенциальным участникам более подробной информации о требуемом к поставке товаре, Заказчиком установлены стандартные требования к шприцам, которые не вызвали вопросов у потенциальных участников закупки, поскольку запросов на разъяснения положений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извещения в адрес ГБУЗ «Межрайонная больница № 1» не поступало.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вышеуказанным, Комиссия Карельского УФАС России считает необходимым отметить, что при осуществлении закупки Заказчик вправе не только выбрать ее предмет, но и обязан определить его и описать в соответствии с нормами Закона о контрактной системе именно таким образом, чтобы участник закупки смог подать заявку на участие в ней,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Закон о контрактной системе не содержит норм, ограничивающих право заказчика включать в извещение требования к объекту закупки, которые являются для него значимыми, а также норм,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Поскольку в каталоге информация о значимых для ГБУЗ «Межрайонная больница № 1» характеристиках товара отсутствует в примененной позиции КТРУ, Заказчик правомерно включил в описание объекта закупки информацию и показатели в соответствии со статьей 33 Закона о контрактной системе, обосновав их применение.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законодательства о контрактной системе, а также согласно «Обзору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нужд» (утв. Президиумом Верховного Суда РФ от 28.06.2017) обязанность доказывания нарушения своих прав и законных интересов лежит на подателе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письмом ФАС России от 11.08.2021 № ПИ/67237/21, объект закупки должен быть сформирован таким образом, чтобы совокупности характеристик товаров соответствовало как минимум два производителя.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жалобы, представитель заинтересованного лица продемонстрировал Комиссии Карельского УФАС России (с последующим предоставлением в материалы дела) шприцы двух разных производителей, которые подходят под описание позиции 1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под установленные технические характеристики товара подходит товар нескольких производителей по следующим регистрационным удостоверениям: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4" w:val="left"/>
        </w:tabs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 от 08.09.2022 № ФСЗ 2009/03803 на «Шприцы стерильные инъекционные одноразовые с иглами и без игл», производитель «Уси Юйшоу Медикал Эплаенсиз Ко., Лтд.» (Китай);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77" w:val="left"/>
        </w:tabs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 от 20.02.2017 №ФСЗ 2010/06982 на медицинское изделие «Шприцы одноразовые стерильные объемом 1 мл, 2 мл, 3 мл, 5 мл, 10 мл, 20 мл, 50 мл с иглами и без игл», производитель «Цзянсу Чжиюй Медикал Инструмент Ко., Лтд.» (Китай).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необходимо отмстить, что требуемые к поставке шприцы имеются в свободном обращении на рынке медицинских изделии РФ (и в том числе закупаются учреждениями здравоохранения республики Карелия) и могут быть закуплены любым участником государственных закупок. Установленные Заказчиком в извещении ограничение допуска и условия допуска товара в соответствии с постановлением Правительства РФ от 05.02.2015 № 102 не запрещают участникам закупки предлагать к поставке соответствующий требованиям аукционной документации товар как отечественного, так и иностранного производства.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вышеуказанным, Комиссия Карельского УФАС России считает также необходимым отметить, что предметом аукциона является поставка, а не изготовление товара, в связи с чем, отсутствие у ООО «МПК «ЕЛЕЦ» требуемого к поставке товара не свидетельствует о невозможности его приобретения Заявителем в целях участия в аукционе. В составе жалобы не представлено документов и сведений, свидетельствующих о невозможности формирования заявки в соответствии с требованиями извещения об осуществлении закупки, а также не представлено документов и доказательств, свидетельствующих о нарушении Заказчиком норм законодательства об осуществлении закупок, в связи с чем у Комиссии Управления отсутствуют правовые основания для признания Заказчика нарушившим требования статей 33, 42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приходит к выводу, что при составлении Описания объекта закупки по рассматриваемой товарной позиции в действиях Заказчика нарушений требований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и Правил № 145 не выявлено.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статьёй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«МПК «ЕЛЕЦ» на действия Заказчика - ГБУЗ «Межрайонная больница № 1» при проведении электронного аукциона на поставку шприцев общего назначения (извещение № 0306200018824000286)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  <w:rPr>
          <w:sz w:val="17"/>
          <w:szCs w:val="17"/>
        </w:r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5171440</wp:posOffset>
            </wp:positionH>
            <wp:positionV relativeFrom="paragraph">
              <wp:posOffset>342900</wp:posOffset>
            </wp:positionV>
            <wp:extent cx="902335" cy="975360"/>
            <wp:wrapTight wrapText="righ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902335" cy="9753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681990</wp:posOffset>
                </wp:positionH>
                <wp:positionV relativeFrom="paragraph">
                  <wp:posOffset>457200</wp:posOffset>
                </wp:positionV>
                <wp:extent cx="2450465" cy="180340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50465" cy="180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3.700000000000003pt;margin-top:36.pt;width:192.95000000000002pt;height:14.2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Настоящее решение может быть об неаловано в Арбитраж ном суде Республики Карелия</w:t>
        <w:br/>
        <w:t>в течение 3-х месяцев с момента его принятия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187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677545</wp:posOffset>
                </wp:positionH>
                <wp:positionV relativeFrom="paragraph">
                  <wp:posOffset>330200</wp:posOffset>
                </wp:positionV>
                <wp:extent cx="1122680" cy="17399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26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3.350000000000001pt;margin-top:26.pt;width:88.400000000000006pt;height:13.7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Г.А. Грущакова </w:t>
      </w:r>
      <w:r>
        <w:rPr>
          <w:color w:val="594F91"/>
          <w:spacing w:val="0"/>
          <w:w w:val="100"/>
          <w:position w:val="0"/>
          <w:shd w:val="clear" w:color="auto" w:fill="auto"/>
          <w:lang w:val="ru-RU" w:eastAsia="ru-RU" w:bidi="ru-RU"/>
        </w:rPr>
        <w:t>ч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20" w:line="18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М"С. Суханов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leader="underscore" w:pos="482" w:val="left"/>
        </w:tabs>
        <w:bidi w:val="0"/>
        <w:spacing w:before="0" w:after="0" w:line="187" w:lineRule="auto"/>
        <w:ind w:left="0" w:right="0" w:firstLine="0"/>
        <w:jc w:val="righ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__О.В.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Ковалева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00" w:line="180" w:lineRule="auto"/>
        <w:ind w:left="8020" w:right="0" w:firstLine="0"/>
        <w:jc w:val="left"/>
        <w:rPr>
          <w:sz w:val="52"/>
          <w:szCs w:val="52"/>
        </w:rPr>
      </w:pPr>
      <w:bookmarkStart w:id="12" w:name="bookmark12"/>
      <w:r>
        <w:rPr>
          <w:color w:val="5276B8"/>
          <w:spacing w:val="0"/>
          <w:w w:val="100"/>
          <w:position w:val="0"/>
          <w:sz w:val="52"/>
          <w:szCs w:val="52"/>
          <w:shd w:val="clear" w:color="auto" w:fill="auto"/>
          <w:lang w:val="ru-RU" w:eastAsia="ru-RU" w:bidi="ru-RU"/>
        </w:rPr>
        <w:t xml:space="preserve">Л </w:t>
      </w:r>
      <w:r>
        <w:rPr>
          <w:color w:val="594F91"/>
          <w:spacing w:val="0"/>
          <w:w w:val="100"/>
          <w:position w:val="0"/>
          <w:sz w:val="52"/>
          <w:szCs w:val="52"/>
          <w:shd w:val="clear" w:color="auto" w:fill="auto"/>
          <w:lang w:val="ru-RU" w:eastAsia="ru-RU" w:bidi="ru-RU"/>
        </w:rPr>
        <w:t>м</w:t>
      </w:r>
      <w:bookmarkEnd w:id="12"/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77" w:right="532" w:bottom="1154" w:left="105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775970</wp:posOffset>
              </wp:positionH>
              <wp:positionV relativeFrom="page">
                <wp:posOffset>10026650</wp:posOffset>
              </wp:positionV>
              <wp:extent cx="648970" cy="1054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2024-3605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1.100000000000001pt;margin-top:789.5pt;width:51.100000000000001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2024-3605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4F91"/>
      <w:sz w:val="28"/>
      <w:szCs w:val="28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 (5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0">
    <w:name w:val="Заголовок №2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CharStyle24">
    <w:name w:val="Другое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20"/>
      <w:ind w:firstLine="1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line="252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ind w:firstLine="9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4F91"/>
      <w:sz w:val="28"/>
      <w:szCs w:val="28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auto"/>
      <w:spacing w:after="9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9">
    <w:name w:val="Заголовок №2"/>
    <w:basedOn w:val="Normal"/>
    <w:link w:val="CharStyle20"/>
    <w:pPr>
      <w:widowControl w:val="0"/>
      <w:shd w:val="clear" w:color="auto" w:fill="auto"/>
      <w:spacing w:after="12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160" w:line="209" w:lineRule="auto"/>
      <w:ind w:left="401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paragraph" w:customStyle="1" w:styleId="Style23">
    <w:name w:val="Другое"/>
    <w:basedOn w:val="Normal"/>
    <w:link w:val="CharStyle24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2.png" TargetMode="External"/></Relationships>
</file>