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723900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727075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r>
        <w:drawing>
          <wp:anchor distT="127000" distB="0" distL="114300" distR="114300" simplePos="0" relativeHeight="125829382" behindDoc="0" locked="0" layoutInCell="1" allowOverlap="1">
            <wp:simplePos x="0" y="0"/>
            <wp:positionH relativeFrom="page">
              <wp:posOffset>714375</wp:posOffset>
            </wp:positionH>
            <wp:positionV relativeFrom="paragraph">
              <wp:posOffset>9262745</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260" w:line="254" w:lineRule="auto"/>
        <w:ind w:left="1020" w:right="0" w:firstLine="0"/>
        <w:jc w:val="left"/>
      </w:pPr>
      <w:r>
        <w:rPr>
          <w:color w:val="000000"/>
          <w:spacing w:val="0"/>
          <w:w w:val="100"/>
          <w:position w:val="0"/>
          <w:shd w:val="clear" w:color="auto" w:fill="auto"/>
          <w:lang w:val="ru-RU" w:eastAsia="ru-RU" w:bidi="ru-RU"/>
        </w:rPr>
        <w:t>КОМИТЕТ ГОСЗАКАЗА ИНГУШЕТИИ 2акат@тай.ги, xауаVка^^@та^1.^и</w:t>
      </w:r>
    </w:p>
    <w:p>
      <w:pPr>
        <w:pStyle w:val="Style10"/>
        <w:keepNext w:val="0"/>
        <w:keepLines w:val="0"/>
        <w:widowControl w:val="0"/>
        <w:shd w:val="clear" w:color="auto" w:fill="auto"/>
        <w:bidi w:val="0"/>
        <w:spacing w:before="0" w:after="260" w:line="252" w:lineRule="auto"/>
        <w:ind w:left="1020" w:right="0" w:firstLine="0"/>
        <w:jc w:val="left"/>
      </w:pPr>
      <w:r>
        <w:rPr>
          <w:color w:val="000000"/>
          <w:spacing w:val="0"/>
          <w:w w:val="100"/>
          <w:position w:val="0"/>
          <w:shd w:val="clear" w:color="auto" w:fill="auto"/>
          <w:lang w:val="ru-RU" w:eastAsia="ru-RU" w:bidi="ru-RU"/>
        </w:rPr>
        <w:t>ОБЩЕСТВО С ОГРАНИЧЕННОЙ ОТВЕТСТВЕННОСТЬЮ "ГЛАВСНАБ" д^8паЪ06@тай.ги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Государственное бюджетное учреждение «Ингушская республиканская клиническая больница» им. А.О.</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Ахушкова»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386106, Республика Ингушетия, г.</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Назрань, тер Центральный округ, ул.</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Х.Б.Муталиева, д.11</w:t>
      </w:r>
    </w:p>
    <w:p>
      <w:pPr>
        <w:pStyle w:val="Style10"/>
        <w:keepNext w:val="0"/>
        <w:keepLines w:val="0"/>
        <w:widowControl w:val="0"/>
        <w:shd w:val="clear" w:color="auto" w:fill="auto"/>
        <w:bidi w:val="0"/>
        <w:spacing w:before="0" w:after="260" w:line="240" w:lineRule="auto"/>
        <w:ind w:left="5320" w:right="0" w:firstLine="0"/>
        <w:jc w:val="left"/>
      </w:pPr>
      <w:r>
        <w:rPr>
          <w:color w:val="000000"/>
          <w:spacing w:val="0"/>
          <w:w w:val="100"/>
          <w:position w:val="0"/>
          <w:shd w:val="clear" w:color="auto" w:fill="auto"/>
          <w:lang w:val="ru-RU" w:eastAsia="ru-RU" w:bidi="ru-RU"/>
        </w:rPr>
        <w:t>н-кЪ2акирИ@тай.ги, гкЪ@тдо^ги</w:t>
      </w:r>
    </w:p>
    <w:p>
      <w:pPr>
        <w:pStyle w:val="Style10"/>
        <w:keepNext w:val="0"/>
        <w:keepLines w:val="0"/>
        <w:widowControl w:val="0"/>
        <w:shd w:val="clear" w:color="auto" w:fill="auto"/>
        <w:bidi w:val="0"/>
        <w:spacing w:before="0" w:after="1340" w:line="254" w:lineRule="auto"/>
        <w:ind w:left="5320" w:right="0" w:firstLine="0"/>
        <w:jc w:val="left"/>
      </w:pPr>
      <w:r>
        <w:rPr>
          <w:color w:val="000000"/>
          <w:spacing w:val="0"/>
          <w:w w:val="100"/>
          <w:position w:val="0"/>
          <w:shd w:val="clear" w:color="auto" w:fill="auto"/>
          <w:lang w:val="ru-RU" w:eastAsia="ru-RU" w:bidi="ru-RU"/>
        </w:rPr>
        <w:t>АО «ЕЭТП» ко@го8екогд.ги</w:t>
      </w:r>
    </w:p>
    <w:p>
      <w:pPr>
        <w:pStyle w:val="Style10"/>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006/06/105-520/2024 о нарушении</w:t>
        <w:br/>
        <w:t>законодательства о контрактной системе</w:t>
      </w:r>
    </w:p>
    <w:p>
      <w:pPr>
        <w:pStyle w:val="Style10"/>
        <w:keepNext w:val="0"/>
        <w:keepLines w:val="0"/>
        <w:widowControl w:val="0"/>
        <w:shd w:val="clear" w:color="auto" w:fill="auto"/>
        <w:bidi w:val="0"/>
        <w:spacing w:before="0" w:after="0" w:line="240" w:lineRule="auto"/>
        <w:ind w:left="0" w:right="440" w:firstLine="0"/>
        <w:jc w:val="right"/>
      </w:pPr>
      <w:r>
        <w:rPr>
          <w:color w:val="000000"/>
          <w:spacing w:val="0"/>
          <w:w w:val="100"/>
          <w:position w:val="0"/>
          <w:shd w:val="clear" w:color="auto" w:fill="auto"/>
          <w:lang w:val="ru-RU" w:eastAsia="ru-RU" w:bidi="ru-RU"/>
        </w:rPr>
        <w:t>г. Назрань</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объявлена 10 октября 2024 года</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14 октября 2024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 комиссии: Б.Б. Точиев - руководитель Управления;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А.А. Аушев - начальник отдела контроля торгов Управления;</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А.Б. Торшкоев - ведущий специалист-эксперт Управления.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 ГБУ «ИРКБ имени А.О. Ахушкова» (далее - Заказчик) - А.Г. Арчакова (по доверенности);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«Ренессанс-Мед» - М.А. Жиляковой (по доверенности);</w:t>
      </w:r>
    </w:p>
    <w:p>
      <w:pPr>
        <w:pStyle w:val="Style10"/>
        <w:keepNext w:val="0"/>
        <w:keepLines w:val="0"/>
        <w:widowControl w:val="0"/>
        <w:shd w:val="clear" w:color="auto" w:fill="auto"/>
        <w:bidi w:val="0"/>
        <w:spacing w:before="0" w:after="260" w:line="240" w:lineRule="auto"/>
        <w:ind w:left="0" w:right="0" w:firstLine="720"/>
        <w:jc w:val="both"/>
        <w:sectPr>
          <w:footerReference w:type="default" r:id="rId11"/>
          <w:footnotePr>
            <w:pos w:val="pageBottom"/>
            <w:numFmt w:val="decimal"/>
            <w:numRestart w:val="continuous"/>
          </w:footnotePr>
          <w:pgSz w:w="11900" w:h="16840"/>
          <w:pgMar w:top="284" w:right="551" w:bottom="1313" w:left="1111" w:header="0" w:footer="3" w:gutter="0"/>
          <w:pgNumType w:start="1"/>
          <w:cols w:space="720"/>
          <w:noEndnote/>
          <w:rtlGutter w:val="0"/>
          <w:docGrid w:linePitch="360"/>
        </w:sectPr>
      </w:pPr>
      <w:r>
        <w:rPr>
          <w:color w:val="000000"/>
          <w:spacing w:val="0"/>
          <w:w w:val="100"/>
          <w:position w:val="0"/>
          <w:shd w:val="clear" w:color="auto" w:fill="auto"/>
          <w:lang w:val="ru-RU" w:eastAsia="ru-RU" w:bidi="ru-RU"/>
        </w:rPr>
        <w:t>В отсутствии представителей: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заявителя жалобы: ООО «Главснаб» - (далее - Заявитель);</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 0114500000824001968 (объект закупки: Поставка медицинских изделий, ввод в эксплуатацию медицинских изделий, обучение правилам эксплуатации специалистов, эксплуатирующих медицинское изделие, для ГБУ "Ингушская республиканская</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клиническая больница имени А.О. Ахушкова".)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ххлхлу./акиркгдоу.ги (далее - ЕИС) размещено извещение о проведении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жалобе Заказчиком допущены следующие нарушения6</w:t>
      </w:r>
    </w:p>
    <w:p>
      <w:pPr>
        <w:pStyle w:val="Style10"/>
        <w:keepNext w:val="0"/>
        <w:keepLines w:val="0"/>
        <w:widowControl w:val="0"/>
        <w:numPr>
          <w:ilvl w:val="0"/>
          <w:numId w:val="1"/>
        </w:numPr>
        <w:shd w:val="clear" w:color="auto" w:fill="auto"/>
        <w:tabs>
          <w:tab w:pos="111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неправомерно составлено под конкретного производителя;</w:t>
      </w:r>
    </w:p>
    <w:p>
      <w:pPr>
        <w:pStyle w:val="Style10"/>
        <w:keepNext w:val="0"/>
        <w:keepLines w:val="0"/>
        <w:widowControl w:val="0"/>
        <w:numPr>
          <w:ilvl w:val="0"/>
          <w:numId w:val="1"/>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извещении Закупки и в техническом задании в составе извещения Закупки указаны противоречивые сведения относительно ИКЗ;</w:t>
      </w:r>
    </w:p>
    <w:p>
      <w:pPr>
        <w:pStyle w:val="Style10"/>
        <w:keepNext w:val="0"/>
        <w:keepLines w:val="0"/>
        <w:widowControl w:val="0"/>
        <w:numPr>
          <w:ilvl w:val="0"/>
          <w:numId w:val="1"/>
        </w:numPr>
        <w:shd w:val="clear" w:color="auto" w:fill="auto"/>
        <w:tabs>
          <w:tab w:pos="190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установлены дополнительные характеристики, не предусмотренные КТРУ.</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09.10.2024 Комиссией Управления был объявлен перерыв в рассмотрении жалобы и проведении внеплановой проверки до 10.10.2024.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0"/>
        <w:keepNext w:val="0"/>
        <w:keepLines w:val="0"/>
        <w:widowControl w:val="0"/>
        <w:numPr>
          <w:ilvl w:val="0"/>
          <w:numId w:val="3"/>
        </w:numPr>
        <w:shd w:val="clear" w:color="auto" w:fill="auto"/>
        <w:tabs>
          <w:tab w:pos="111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 об осуществлении закупки размещено в ЕИС - 26.09.2024;</w:t>
      </w:r>
    </w:p>
    <w:p>
      <w:pPr>
        <w:pStyle w:val="Style10"/>
        <w:keepNext w:val="0"/>
        <w:keepLines w:val="0"/>
        <w:widowControl w:val="0"/>
        <w:numPr>
          <w:ilvl w:val="0"/>
          <w:numId w:val="3"/>
        </w:numPr>
        <w:shd w:val="clear" w:color="auto" w:fill="auto"/>
        <w:tabs>
          <w:tab w:pos="111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0"/>
        <w:keepNext w:val="0"/>
        <w:keepLines w:val="0"/>
        <w:widowControl w:val="0"/>
        <w:numPr>
          <w:ilvl w:val="0"/>
          <w:numId w:val="3"/>
        </w:numPr>
        <w:shd w:val="clear" w:color="auto" w:fill="auto"/>
        <w:tabs>
          <w:tab w:pos="114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- 6 262 000,00 рублей;</w:t>
      </w:r>
    </w:p>
    <w:p>
      <w:pPr>
        <w:pStyle w:val="Style10"/>
        <w:keepNext w:val="0"/>
        <w:keepLines w:val="0"/>
        <w:widowControl w:val="0"/>
        <w:numPr>
          <w:ilvl w:val="0"/>
          <w:numId w:val="3"/>
        </w:numPr>
        <w:shd w:val="clear" w:color="auto" w:fill="auto"/>
        <w:tabs>
          <w:tab w:pos="11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подачи заявок - 04.10.2024 09:00;</w:t>
      </w:r>
    </w:p>
    <w:p>
      <w:pPr>
        <w:pStyle w:val="Style10"/>
        <w:keepNext w:val="0"/>
        <w:keepLines w:val="0"/>
        <w:widowControl w:val="0"/>
        <w:numPr>
          <w:ilvl w:val="0"/>
          <w:numId w:val="3"/>
        </w:numPr>
        <w:shd w:val="clear" w:color="auto" w:fill="auto"/>
        <w:tabs>
          <w:tab w:pos="1112" w:val="left"/>
        </w:tabs>
        <w:bidi w:val="0"/>
        <w:spacing w:before="0" w:after="280" w:line="240" w:lineRule="auto"/>
        <w:ind w:left="0" w:right="0" w:firstLine="74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- 07.10.2024.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0"/>
        <w:keepNext w:val="0"/>
        <w:keepLines w:val="0"/>
        <w:widowControl w:val="0"/>
        <w:numPr>
          <w:ilvl w:val="0"/>
          <w:numId w:val="5"/>
        </w:numPr>
        <w:shd w:val="clear" w:color="auto" w:fill="auto"/>
        <w:tabs>
          <w:tab w:pos="109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w:t>
      </w:r>
      <w:r>
        <w:rPr>
          <w:color w:val="000000"/>
          <w:spacing w:val="0"/>
          <w:w w:val="100"/>
          <w:position w:val="0"/>
          <w:shd w:val="clear" w:color="auto" w:fill="auto"/>
          <w:lang w:val="ru-RU" w:eastAsia="ru-RU" w:bidi="ru-RU"/>
        </w:rPr>
        <w:t>специалистов, обладающих теоретическими знаниями и навыками в сфере закупок (часть 1 статьи 9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8 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предусмотрено, что заказчик при описании объекта закупки должен руководствоваться, в числе прочего, следующими правилами: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жалобе описанию объекта Закупки соответствуют характеристики товара конкретного производителя Репсах.</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Заявителем представлен сравнительный анализ среди изделий иных производителей, из которого также следует вывод о наличии на рынке оборудования единственного производителя, соответствующего установленным в техническом задании характеристикам.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Заказчиком на рассмотрении жалобы по существу не предоставлены документы и сведения, подтверждающие, что описанию объекта закупки соответствуют характеристикам нескольких производителей.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Учитывая, что в соответствии с требованиями Закона о контрактной системе Заказчик еще на стадии формирования объекта Закупки должен руководствоваться правилами составления Закупки под нескольких производителей, отсутствие у Заказчика на рассмотрение жалобы по существу доказательств не составления технического задания под одного производителя подтверждает довод жалобы.</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 основании изложенного Комиссией Управления в действиях Заказчика признаны нарушения пункта 1 части 2 статьи 42, пункта 1 части 1 статьи 33 и статьи 8 Закона о контрактной системе.</w:t>
      </w:r>
    </w:p>
    <w:p>
      <w:pPr>
        <w:pStyle w:val="Style10"/>
        <w:keepNext w:val="0"/>
        <w:keepLines w:val="0"/>
        <w:widowControl w:val="0"/>
        <w:numPr>
          <w:ilvl w:val="0"/>
          <w:numId w:val="5"/>
        </w:numPr>
        <w:shd w:val="clear" w:color="auto" w:fill="auto"/>
        <w:tabs>
          <w:tab w:pos="113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согласно извещению Закупки идентификационным кодом закупки (далее - ИКЗ) является 242060202516106060100103320012660244.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в нарушение требований части 3 статьи 7 Закона о контрактной системе Заказчика в технического задании, размещенном в составе извещения Закупки, указано, что ИКЗ данной закупки ИКЗ является 242060202516106060100103320002660244.</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На основании изложенного Комиссией Управления второй довод жалобы признан обоснованным.</w:t>
      </w:r>
    </w:p>
    <w:p>
      <w:pPr>
        <w:pStyle w:val="Style10"/>
        <w:keepNext w:val="0"/>
        <w:keepLines w:val="0"/>
        <w:widowControl w:val="0"/>
        <w:numPr>
          <w:ilvl w:val="0"/>
          <w:numId w:val="5"/>
        </w:numPr>
        <w:shd w:val="clear" w:color="auto" w:fill="auto"/>
        <w:tabs>
          <w:tab w:pos="113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15 части 1 статьи 42 Закона о контрактной системе предусмотрено, что извещение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w:t>
      </w:r>
      <w:r>
        <w:rPr>
          <w:color w:val="000000"/>
          <w:spacing w:val="0"/>
          <w:w w:val="100"/>
          <w:position w:val="0"/>
          <w:shd w:val="clear" w:color="auto" w:fill="auto"/>
          <w:lang w:val="ru-RU" w:eastAsia="ru-RU" w:bidi="ru-RU"/>
        </w:rPr>
        <w:t>предусмотрены международными договорами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(часть 3 статьи 14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объектом Закупки является поставка системы эндоскопической визуализации.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в извещении Закупки Заказчиком выбрана позиция КТРУ 26.60.12.119</w:t>
        <w:softHyphen/>
        <w:t>00000374 «Система эндоскопической визуализации».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Сведения об указанном товаре включены в перечень, предусмотренный Постановлением №878.</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Заказчиком при размещении Закупки правомерно установлены ограничения согласно Постановлению №878.</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согласно жалобе Заказчику при размещении Закупки надлежало выбрать иную позиции по КТРУ, а именно: 26.60.12.119-00000772 «Бронхоскоп гибкий».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 этом Заявитель не обеспечил явку своего представителя на рассмотрение жалобы по существу и не представил документы и сведения, подтверждающие обоснованность довода жалобы и ущемление его прав и законных интересов при </w:t>
      </w:r>
      <w:r>
        <w:rPr>
          <w:color w:val="000000"/>
          <w:spacing w:val="0"/>
          <w:w w:val="100"/>
          <w:position w:val="0"/>
          <w:shd w:val="clear" w:color="auto" w:fill="auto"/>
          <w:lang w:val="ru-RU" w:eastAsia="ru-RU" w:bidi="ru-RU"/>
        </w:rPr>
        <w:t>размещении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в действиях Заказчика, который выбрал код позиции КТРУ 26.60.12.119-00000374 «Система эндоскопической визуализации» при размещении процедуры закупки на поставку системы эндоскопической визуализации, нарушений требований Закона о контрактной системе не выявлены.</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Комиссией Управления третий довод жалобы признан необоснованным.</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Управления иных нарушений требований Закона о контрактной системе не выявлено.</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статьями 99</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106</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w:t>
      </w:r>
    </w:p>
    <w:p>
      <w:pPr>
        <w:pStyle w:val="Style10"/>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7"/>
        </w:numPr>
        <w:shd w:val="clear" w:color="auto" w:fill="auto"/>
        <w:tabs>
          <w:tab w:pos="1078" w:val="left"/>
        </w:tabs>
        <w:bidi w:val="0"/>
        <w:spacing w:before="0" w:after="0" w:line="233" w:lineRule="auto"/>
        <w:ind w:left="0" w:right="0" w:firstLine="720"/>
        <w:jc w:val="both"/>
      </w:pPr>
      <w:r>
        <w:rPr>
          <w:color w:val="000000"/>
          <w:spacing w:val="0"/>
          <w:w w:val="100"/>
          <w:position w:val="0"/>
          <w:shd w:val="clear" w:color="auto" w:fill="auto"/>
          <w:lang w:val="ru-RU" w:eastAsia="ru-RU" w:bidi="ru-RU"/>
        </w:rPr>
        <w:t>Признать жалобу ООО «Главснаб» частично обоснованной.</w:t>
      </w:r>
    </w:p>
    <w:p>
      <w:pPr>
        <w:pStyle w:val="Style10"/>
        <w:keepNext w:val="0"/>
        <w:keepLines w:val="0"/>
        <w:widowControl w:val="0"/>
        <w:numPr>
          <w:ilvl w:val="0"/>
          <w:numId w:val="7"/>
        </w:numPr>
        <w:shd w:val="clear" w:color="auto" w:fill="auto"/>
        <w:tabs>
          <w:tab w:pos="10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нарушения пункта 1 части 2 статьи 42, пункта 1 части 1 статьи 33, статьи 8 и части 3 статьи 7 Закона о контрактной системе.</w:t>
      </w:r>
    </w:p>
    <w:p>
      <w:pPr>
        <w:pStyle w:val="Style10"/>
        <w:keepNext w:val="0"/>
        <w:keepLines w:val="0"/>
        <w:widowControl w:val="0"/>
        <w:numPr>
          <w:ilvl w:val="0"/>
          <w:numId w:val="7"/>
        </w:numPr>
        <w:shd w:val="clear" w:color="auto" w:fill="auto"/>
        <w:tabs>
          <w:tab w:pos="1098" w:val="left"/>
        </w:tabs>
        <w:bidi w:val="0"/>
        <w:spacing w:before="0" w:after="0" w:line="233" w:lineRule="auto"/>
        <w:ind w:left="0" w:right="0" w:firstLine="720"/>
        <w:jc w:val="both"/>
      </w:pPr>
      <w:r>
        <w:rPr>
          <w:color w:val="000000"/>
          <w:spacing w:val="0"/>
          <w:w w:val="100"/>
          <w:position w:val="0"/>
          <w:shd w:val="clear" w:color="auto" w:fill="auto"/>
          <w:lang w:val="ru-RU" w:eastAsia="ru-RU" w:bidi="ru-RU"/>
        </w:rPr>
        <w:t>Выдать обязательное для исполнения предписание.</w:t>
      </w:r>
    </w:p>
    <w:p>
      <w:pPr>
        <w:pStyle w:val="Style10"/>
        <w:keepNext w:val="0"/>
        <w:keepLines w:val="0"/>
        <w:widowControl w:val="0"/>
        <w:numPr>
          <w:ilvl w:val="0"/>
          <w:numId w:val="7"/>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0"/>
        <w:keepNext w:val="0"/>
        <w:keepLines w:val="0"/>
        <w:widowControl w:val="0"/>
        <w:numPr>
          <w:ilvl w:val="0"/>
          <w:numId w:val="7"/>
        </w:numPr>
        <w:shd w:val="clear" w:color="auto" w:fill="auto"/>
        <w:tabs>
          <w:tab w:pos="1093"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0"/>
        <w:keepNext w:val="0"/>
        <w:keepLines w:val="0"/>
        <w:widowControl w:val="0"/>
        <w:shd w:val="clear" w:color="auto" w:fill="auto"/>
        <w:tabs>
          <w:tab w:pos="7766" w:val="left"/>
        </w:tabs>
        <w:bidi w:val="0"/>
        <w:spacing w:before="0" w:after="580" w:line="252" w:lineRule="auto"/>
        <w:ind w:left="0" w:right="0" w:firstLine="720"/>
        <w:jc w:val="both"/>
      </w:pPr>
      <w:r>
        <w:rPr>
          <w:color w:val="000000"/>
          <w:spacing w:val="0"/>
          <w:w w:val="100"/>
          <w:position w:val="0"/>
          <w:shd w:val="clear" w:color="auto" w:fill="auto"/>
          <w:lang w:val="ru-RU" w:eastAsia="ru-RU" w:bidi="ru-RU"/>
        </w:rPr>
        <w:t>Председатель Комиссии:</w:t>
        <w:tab/>
        <w:t>Б.Б. Точиев</w:t>
      </w:r>
    </w:p>
    <w:p>
      <w:pPr>
        <w:pStyle w:val="Style10"/>
        <w:keepNext w:val="0"/>
        <w:keepLines w:val="0"/>
        <w:widowControl w:val="0"/>
        <w:shd w:val="clear" w:color="auto" w:fill="auto"/>
        <w:tabs>
          <w:tab w:pos="7766" w:val="left"/>
        </w:tabs>
        <w:bidi w:val="0"/>
        <w:spacing w:before="0" w:after="580" w:line="252" w:lineRule="auto"/>
        <w:ind w:left="0" w:right="0" w:firstLine="720"/>
        <w:jc w:val="both"/>
      </w:pPr>
      <w:r>
        <w:rPr>
          <w:color w:val="000000"/>
          <w:spacing w:val="0"/>
          <w:w w:val="100"/>
          <w:position w:val="0"/>
          <w:shd w:val="clear" w:color="auto" w:fill="auto"/>
          <w:lang w:val="ru-RU" w:eastAsia="ru-RU" w:bidi="ru-RU"/>
        </w:rPr>
        <w:t>Члены комиссии:</w:t>
        <w:tab/>
        <w:t>А.А. Аушев</w:t>
      </w:r>
    </w:p>
    <w:p>
      <w:pPr>
        <w:pStyle w:val="Style10"/>
        <w:keepNext w:val="0"/>
        <w:keepLines w:val="0"/>
        <w:widowControl w:val="0"/>
        <w:shd w:val="clear" w:color="auto" w:fill="auto"/>
        <w:bidi w:val="0"/>
        <w:spacing w:before="0" w:after="2440" w:line="252" w:lineRule="auto"/>
        <w:ind w:left="0" w:right="740" w:firstLine="0"/>
        <w:jc w:val="right"/>
      </w:pPr>
      <w:r>
        <w:rPr>
          <w:color w:val="000000"/>
          <w:spacing w:val="0"/>
          <w:w w:val="100"/>
          <w:position w:val="0"/>
          <w:shd w:val="clear" w:color="auto" w:fill="auto"/>
          <w:lang w:val="ru-RU" w:eastAsia="ru-RU" w:bidi="ru-RU"/>
        </w:rPr>
        <w:t>А.Б. Торшкоев</w:t>
      </w:r>
    </w:p>
    <w:p>
      <w:pPr>
        <w:pStyle w:val="Style10"/>
        <w:keepNext w:val="0"/>
        <w:keepLines w:val="0"/>
        <w:widowControl w:val="0"/>
        <w:shd w:val="clear" w:color="auto" w:fill="auto"/>
        <w:bidi w:val="0"/>
        <w:spacing w:before="0" w:after="420" w:line="240" w:lineRule="auto"/>
        <w:ind w:left="0" w:right="0" w:firstLine="720"/>
        <w:jc w:val="both"/>
        <w:rPr>
          <w:sz w:val="24"/>
          <w:szCs w:val="24"/>
        </w:rPr>
      </w:pPr>
      <w:r>
        <w:rPr>
          <w:color w:val="000000"/>
          <w:spacing w:val="0"/>
          <w:w w:val="100"/>
          <w:position w:val="0"/>
          <w:sz w:val="24"/>
          <w:szCs w:val="24"/>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12"/>
      <w:footerReference w:type="default" r:id="rId13"/>
      <w:footnotePr>
        <w:pos w:val="pageBottom"/>
        <w:numFmt w:val="decimal"/>
        <w:numRestart w:val="continuous"/>
      </w:footnotePr>
      <w:pgSz w:w="11900" w:h="16840"/>
      <w:pgMar w:top="1695" w:right="535" w:bottom="1383"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2024-3349</w:t>
                          </w:r>
                        </w:p>
                      </w:txbxContent>
                    </wps:txbx>
                    <wps:bodyPr wrap="none" lIns="0" tIns="0" rIns="0" bIns="0">
                      <a:spAutoFit/>
                    </wps:bodyPr>
                  </wps:wsp>
                </a:graphicData>
              </a:graphic>
            </wp:anchor>
          </w:drawing>
        </mc:Choice>
        <mc:Fallback>
          <w:pict>
            <v:shape id="_x0000_s103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2024-3349</w:t>
                          </w:r>
                        </w:p>
                      </w:txbxContent>
                    </wps:txbx>
                    <wps:bodyPr wrap="none" lIns="0" tIns="0" rIns="0" bIns="0">
                      <a:spAutoFit/>
                    </wps:bodyPr>
                  </wps:wsp>
                </a:graphicData>
              </a:graphic>
            </wp:anchor>
          </w:drawing>
        </mc:Choice>
        <mc:Fallback>
          <w:pict>
            <v:shape id="_x0000_s1041" type="#_x0000_t202" style="position:absolute;margin-left:56.800000000000004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3918585</wp:posOffset>
              </wp:positionH>
              <wp:positionV relativeFrom="page">
                <wp:posOffset>765810</wp:posOffset>
              </wp:positionV>
              <wp:extent cx="76200" cy="115570"/>
              <wp:wrapNone/>
              <wp:docPr id="13" name="Shape 13"/>
              <a:graphic xmlns:a="http://schemas.openxmlformats.org/drawingml/2006/main">
                <a:graphicData uri="http://schemas.microsoft.com/office/word/2010/wordprocessingShape">
                  <wps:wsp>
                    <wps:cNvSpPr txBox="1"/>
                    <wps:spPr>
                      <a:xfrm>
                        <a:ext cx="76200" cy="1155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55000000000001pt;margin-top:60.300000000000004pt;width:6.pt;height:9.0999999999999996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color w:val="000000"/>
                          <w:spacing w:val="0"/>
                          <w:w w:val="100"/>
                          <w:position w:val="0"/>
                          <w:sz w:val="26"/>
                          <w:szCs w:val="26"/>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16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header" Target="header1.xml"/><Relationship Id="rId13" Type="http://schemas.openxmlformats.org/officeDocument/2006/relationships/footer" Target="footer2.xml"/></Relationships>
</file>