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723900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color w:val="4360A3"/>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left"/>
                            </w:pPr>
                            <w:r>
                              <w:rPr>
                                <w:color w:val="4360A3"/>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color w:val="4360A3"/>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left"/>
                      </w:pPr>
                      <w:r>
                        <w:rPr>
                          <w:color w:val="4360A3"/>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727075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w:drawing>
          <wp:anchor distT="25400" distB="0" distL="114300" distR="114300" simplePos="0" relativeHeight="125829382" behindDoc="0" locked="0" layoutInCell="1" allowOverlap="1">
            <wp:simplePos x="0" y="0"/>
            <wp:positionH relativeFrom="page">
              <wp:posOffset>714375</wp:posOffset>
            </wp:positionH>
            <wp:positionV relativeFrom="paragraph">
              <wp:posOffset>9259570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28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ОБЩЕСТВО С ОГРАНИЧЕННОЙ ОТВЕТСТВЕННОСТЬЮ "ГЛАВСНАБ" д1а\ъпаЬ0)6@таП.П1</w:t>
      </w:r>
    </w:p>
    <w:p>
      <w:pPr>
        <w:pStyle w:val="Style10"/>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Государственное бюджетное учреждение «Ингушская республиканская клиническая больница» им. А.О. Ахушкова» 386106, Республика Ингушетия, г. Назрань, тер Центральный округ, ул.</w:t>
      </w:r>
    </w:p>
    <w:p>
      <w:pPr>
        <w:pStyle w:val="Style10"/>
        <w:keepNext w:val="0"/>
        <w:keepLines w:val="0"/>
        <w:widowControl w:val="0"/>
        <w:shd w:val="clear" w:color="auto" w:fill="auto"/>
        <w:bidi w:val="0"/>
        <w:spacing w:before="0" w:after="28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Х.Б.Муталиева, д.11 йкЪхакирИ@тай.ги, гкЪ@тдо^ги</w:t>
      </w:r>
    </w:p>
    <w:p>
      <w:pPr>
        <w:pStyle w:val="Style10"/>
        <w:keepNext w:val="0"/>
        <w:keepLines w:val="0"/>
        <w:widowControl w:val="0"/>
        <w:shd w:val="clear" w:color="auto" w:fill="auto"/>
        <w:bidi w:val="0"/>
        <w:spacing w:before="0" w:after="280" w:line="240" w:lineRule="auto"/>
        <w:ind w:left="5320" w:right="0" w:hanging="4300"/>
        <w:jc w:val="left"/>
        <w:rPr>
          <w:sz w:val="28"/>
          <w:szCs w:val="28"/>
        </w:rPr>
      </w:pPr>
      <w:r>
        <w:rPr>
          <w:color w:val="000000"/>
          <w:spacing w:val="0"/>
          <w:w w:val="100"/>
          <w:position w:val="0"/>
          <w:sz w:val="28"/>
          <w:szCs w:val="28"/>
          <w:shd w:val="clear" w:color="auto" w:fill="auto"/>
          <w:lang w:val="ru-RU" w:eastAsia="ru-RU" w:bidi="ru-RU"/>
        </w:rPr>
        <w:t>АО «ЕЭТП» ко@го8екогд.ги</w:t>
      </w:r>
    </w:p>
    <w:p>
      <w:pPr>
        <w:pStyle w:val="Style10"/>
        <w:keepNext w:val="0"/>
        <w:keepLines w:val="0"/>
        <w:widowControl w:val="0"/>
        <w:shd w:val="clear" w:color="auto" w:fill="auto"/>
        <w:bidi w:val="0"/>
        <w:spacing w:before="0" w:after="190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Комитет государственного заказа Республики Ингушетия хака7П@тай.ги</w:t>
      </w:r>
    </w:p>
    <w:p>
      <w:pPr>
        <w:pStyle w:val="Style10"/>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006/06/105-521/2024 о нарушении</w:t>
        <w:br/>
        <w:t>законодательства о контрактной системе</w:t>
      </w:r>
    </w:p>
    <w:p>
      <w:pPr>
        <w:pStyle w:val="Style10"/>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ru-RU" w:eastAsia="ru-RU" w:bidi="ru-RU"/>
        </w:rPr>
        <w:t>г. Назрань</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объявлена 10 октября 2024 года</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14 октября 2024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0"/>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Председатель комиссии: Б.Б. Точиев - руководитель Управления;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А.А. Аушев - начальник отдела контроля торгов Управления;</w:t>
      </w:r>
    </w:p>
    <w:p>
      <w:pPr>
        <w:pStyle w:val="Style10"/>
        <w:keepNext w:val="0"/>
        <w:keepLines w:val="0"/>
        <w:widowControl w:val="0"/>
        <w:shd w:val="clear" w:color="auto" w:fill="auto"/>
        <w:bidi w:val="0"/>
        <w:spacing w:before="0" w:after="280" w:line="240" w:lineRule="auto"/>
        <w:ind w:left="0" w:right="0" w:firstLine="720"/>
        <w:jc w:val="left"/>
      </w:pPr>
      <w:r>
        <w:rPr>
          <w:color w:val="000000"/>
          <w:spacing w:val="0"/>
          <w:w w:val="100"/>
          <w:position w:val="0"/>
          <w:shd w:val="clear" w:color="auto" w:fill="auto"/>
          <w:lang w:val="ru-RU" w:eastAsia="ru-RU" w:bidi="ru-RU"/>
        </w:rPr>
        <w:t>А.Б. Торшкоев - ведущий специалист-эксперт Управления.</w:t>
      </w:r>
    </w:p>
    <w:p>
      <w:pPr>
        <w:pStyle w:val="Style10"/>
        <w:keepNext w:val="0"/>
        <w:keepLines w:val="0"/>
        <w:widowControl w:val="0"/>
        <w:shd w:val="clear" w:color="auto" w:fill="auto"/>
        <w:bidi w:val="0"/>
        <w:spacing w:before="0" w:after="280" w:line="240" w:lineRule="auto"/>
        <w:ind w:left="0" w:right="0" w:firstLine="720"/>
        <w:jc w:val="left"/>
        <w:sectPr>
          <w:footerReference w:type="default" r:id="rId11"/>
          <w:footnotePr>
            <w:pos w:val="pageBottom"/>
            <w:numFmt w:val="decimal"/>
            <w:numRestart w:val="continuous"/>
          </w:footnotePr>
          <w:pgSz w:w="11900" w:h="16840"/>
          <w:pgMar w:top="284" w:right="555" w:bottom="1313" w:left="1111" w:header="0" w:footer="3" w:gutter="0"/>
          <w:pgNumType w:start="1"/>
          <w:cols w:space="720"/>
          <w:noEndnote/>
          <w:rtlGutter w:val="0"/>
          <w:docGrid w:linePitch="360"/>
        </w:sectPr>
      </w:pPr>
      <w:r>
        <w:rPr>
          <w:color w:val="000000"/>
          <w:spacing w:val="0"/>
          <w:w w:val="100"/>
          <w:position w:val="0"/>
          <w:shd w:val="clear" w:color="auto" w:fill="auto"/>
          <w:lang w:val="ru-RU" w:eastAsia="ru-RU" w:bidi="ru-RU"/>
        </w:rPr>
        <w:t>В присутствии представителя заказчика - ГБУ «ИРКБ имени А.О. Ахушкова» (далее - Заказчик) - А.Г. Арчакова (по доверенности);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заявителя жалобы: ООО «Главснаб» - (далее - Заявитель);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0114500000824001962 (объект закупки: Поставка медицинских изделий, ввод в эксплуатацию медицинских изделий, обучение правилам эксплуатации специалистов, эксплуатирующих медицинское изделие, для ГБУ "Ингушская республиканская клиническая больница имени А.О. Ахушкова".)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\у\у\у./акирк1.доу.ги (далее - ЕИС) размещено извещение о проведении Закупки.</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жалобе при размещении Закупки не установлено ограничение согласно статьи 14 Закона о контрактной системе, а также установлены излишние требования к описанию объекта закупки, не предусмотренные КТРУ.</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09.10.2024 Комиссией Управления был объявлен перерыв в рассмотрении жалобы и проведении внеплановой проверки до 10.10.2024.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0"/>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ЕИС - 26.09.2024;</w:t>
      </w:r>
    </w:p>
    <w:p>
      <w:pPr>
        <w:pStyle w:val="Style10"/>
        <w:keepNext w:val="0"/>
        <w:keepLines w:val="0"/>
        <w:widowControl w:val="0"/>
        <w:numPr>
          <w:ilvl w:val="0"/>
          <w:numId w:val="1"/>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0"/>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- 1 275 872,40 рублей;</w:t>
      </w:r>
    </w:p>
    <w:p>
      <w:pPr>
        <w:pStyle w:val="Style10"/>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- 04.10.2024 09:00;</w:t>
      </w:r>
    </w:p>
    <w:p>
      <w:pPr>
        <w:pStyle w:val="Style10"/>
        <w:keepNext w:val="0"/>
        <w:keepLines w:val="0"/>
        <w:widowControl w:val="0"/>
        <w:numPr>
          <w:ilvl w:val="0"/>
          <w:numId w:val="1"/>
        </w:numPr>
        <w:shd w:val="clear" w:color="auto" w:fill="auto"/>
        <w:tabs>
          <w:tab w:pos="1112"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- 07.10.2024.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15 части 1 статьи 42 Закона о контрактной системе предусмотрено, что извещение закупки должно содержать информацию об условиях, о запретах и об </w:t>
      </w:r>
      <w:r>
        <w:rPr>
          <w:color w:val="000000"/>
          <w:spacing w:val="0"/>
          <w:w w:val="100"/>
          <w:position w:val="0"/>
          <w:shd w:val="clear" w:color="auto" w:fill="auto"/>
          <w:lang w:val="ru-RU" w:eastAsia="ru-RU" w:bidi="ru-RU"/>
        </w:rPr>
        <w:t>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(часть 3 статьи 14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извещению Закупки объектом закупки является поставка светильника операционного. Наименование объекта закупки установлено в соответствии с позицией 32.50.50.190-00002658 Каталога товаров, работ, услуг для обеспечения государственных </w:t>
      </w:r>
      <w:r>
        <w:rPr>
          <w:color w:val="000000"/>
          <w:spacing w:val="0"/>
          <w:w w:val="100"/>
          <w:position w:val="0"/>
          <w:shd w:val="clear" w:color="auto" w:fill="auto"/>
          <w:lang w:val="ru-RU" w:eastAsia="ru-RU" w:bidi="ru-RU"/>
        </w:rPr>
        <w:t>и муниципальных нужд.</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содержания жалобы следует, что Заказчиком неправомерно не установлены ограничения согласно Постановлению №878.</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даны пояснения, согласно которым к поставке требуется медицинское оборудование соответствующее коду 129370 (Система для освещения операционной) по номенклатурной классификации медицинских изделий по видам (далее — НКМИ). Указанные обстоятельства подтверждающие сведениями, размещенными в реестре медицинских изделий Росздравнадзора, в том числе в отношении медицинского изделия Ро1ал§ 600.</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Комиссией Управления установлено, что в перечне, утвержденном Постановлением №878, отсутствует позиция, соответствующая медицинского изделию по коду129370 НКМИ.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Более того, согласно извещению Закупки, поставляемое оборудование соответствует позиции 32.50.50.190-00002658 Каталога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согласно данной позиции КТРУ при осуществлении закупки настоящего медицинского оборудования указание дополнительных характеристик не запрещено.</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из положений Постановления №878 следует, что в случае поставки товара из перечня, утвержденного постановлением №878, указание дополнительных характеристик запрещено, даже если у заказчика имеется обоснование необходимости их установления.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совокупности вышеуказанного следует вывод, что при поставке оборудования по объекту Закупки установление ограничений согласно Постановлению №878 не требуется.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Заказчик правомерно не установил ограничения при размещении извещения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в случае, если при размещении Закупки не установлены ограничения согласно Постановлению №878, Заказчик вправе устанавливать дополнительные характеристики при наличии обоснование их установления. Соответствующее обоснование установление дополнительных характеристик указаны в техническом задании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Комиссией Управления отмечено, что Заявителем не обеспечена явка своего представителя на рассмотрении жалобы по существу и не даны пояснения каким образом при размещении настоящей закупки могут быть ущемлены его права и законные интересы.</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изложенного Комиссией Управления довод жалобы о неправомерном не установлении ограничений в соответствии с положениями Постановления №878 признан необоснованным.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проведения внеплановой проверки Комиссией Управления выявлено следующее нарушение.</w:t>
      </w:r>
    </w:p>
    <w:p>
      <w:pPr>
        <w:pStyle w:val="Style10"/>
        <w:keepNext w:val="0"/>
        <w:keepLines w:val="0"/>
        <w:widowControl w:val="0"/>
        <w:shd w:val="clear" w:color="auto" w:fill="auto"/>
        <w:bidi w:val="0"/>
        <w:spacing w:before="0" w:after="14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согласно извещению Закупки идентификационным кодом закупки (далее - ИКЗ) является 242060202516106060100103220013250244.</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Вместе с тем, в нарушение требований части 3 статьи 7 Закона о контрактной системе Заказчика в технического задании, размещенном в составе извещения Закупки, указано, что ИКЗ данной закупки ИКЗ является 242060202516106060100103220003250244.</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Учитывая, что выявленное нарушение не повлияло на результат определения победителя торгов, Комиссией Управления принято решение обязательное для исполнения предписание не выдавать.</w:t>
      </w:r>
    </w:p>
    <w:p>
      <w:pPr>
        <w:pStyle w:val="Style10"/>
        <w:keepNext w:val="0"/>
        <w:keepLines w:val="0"/>
        <w:widowControl w:val="0"/>
        <w:shd w:val="clear" w:color="auto" w:fill="auto"/>
        <w:bidi w:val="0"/>
        <w:spacing w:before="0" w:after="80" w:line="240" w:lineRule="auto"/>
        <w:ind w:left="0" w:right="0" w:firstLine="74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статьями 99</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106</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w:t>
      </w:r>
    </w:p>
    <w:p>
      <w:pPr>
        <w:pStyle w:val="Style10"/>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3"/>
        </w:numPr>
        <w:shd w:val="clear" w:color="auto" w:fill="auto"/>
        <w:tabs>
          <w:tab w:pos="1098" w:val="left"/>
        </w:tabs>
        <w:bidi w:val="0"/>
        <w:spacing w:before="0" w:after="0" w:line="233" w:lineRule="auto"/>
        <w:ind w:left="0" w:right="0" w:firstLine="740"/>
        <w:jc w:val="both"/>
      </w:pPr>
      <w:r>
        <w:rPr>
          <w:color w:val="000000"/>
          <w:spacing w:val="0"/>
          <w:w w:val="100"/>
          <w:position w:val="0"/>
          <w:shd w:val="clear" w:color="auto" w:fill="auto"/>
          <w:lang w:val="ru-RU" w:eastAsia="ru-RU" w:bidi="ru-RU"/>
        </w:rPr>
        <w:t>Признать жалобу ООО «Главснаб» необоснованной.</w:t>
      </w:r>
    </w:p>
    <w:p>
      <w:pPr>
        <w:pStyle w:val="Style10"/>
        <w:keepNext w:val="0"/>
        <w:keepLines w:val="0"/>
        <w:widowControl w:val="0"/>
        <w:numPr>
          <w:ilvl w:val="0"/>
          <w:numId w:val="3"/>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в действиях Заказчика нарушение части 3 статьи 7 Закона о контрактной системе Закона о контрактной системе.</w:t>
      </w:r>
    </w:p>
    <w:p>
      <w:pPr>
        <w:pStyle w:val="Style10"/>
        <w:keepNext w:val="0"/>
        <w:keepLines w:val="0"/>
        <w:widowControl w:val="0"/>
        <w:numPr>
          <w:ilvl w:val="0"/>
          <w:numId w:val="3"/>
        </w:numPr>
        <w:shd w:val="clear" w:color="auto" w:fill="auto"/>
        <w:tabs>
          <w:tab w:pos="1118" w:val="left"/>
        </w:tabs>
        <w:bidi w:val="0"/>
        <w:spacing w:before="0" w:after="0" w:line="233" w:lineRule="auto"/>
        <w:ind w:left="0" w:right="0" w:firstLine="740"/>
        <w:jc w:val="both"/>
      </w:pPr>
      <w:r>
        <w:rPr>
          <w:color w:val="000000"/>
          <w:spacing w:val="0"/>
          <w:w w:val="100"/>
          <w:position w:val="0"/>
          <w:shd w:val="clear" w:color="auto" w:fill="auto"/>
          <w:lang w:val="ru-RU" w:eastAsia="ru-RU" w:bidi="ru-RU"/>
        </w:rPr>
        <w:t>Обязательное для исполнения предписание не выдавать.</w:t>
      </w:r>
    </w:p>
    <w:p>
      <w:pPr>
        <w:pStyle w:val="Style10"/>
        <w:keepNext w:val="0"/>
        <w:keepLines w:val="0"/>
        <w:widowControl w:val="0"/>
        <w:numPr>
          <w:ilvl w:val="0"/>
          <w:numId w:val="3"/>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0"/>
        <w:keepNext w:val="0"/>
        <w:keepLines w:val="0"/>
        <w:widowControl w:val="0"/>
        <w:numPr>
          <w:ilvl w:val="0"/>
          <w:numId w:val="3"/>
        </w:numPr>
        <w:shd w:val="clear" w:color="auto" w:fill="auto"/>
        <w:tabs>
          <w:tab w:pos="1093"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0"/>
        <w:keepNext w:val="0"/>
        <w:keepLines w:val="0"/>
        <w:widowControl w:val="0"/>
        <w:shd w:val="clear" w:color="auto" w:fill="auto"/>
        <w:tabs>
          <w:tab w:pos="7752" w:val="left"/>
        </w:tabs>
        <w:bidi w:val="0"/>
        <w:spacing w:before="0" w:after="580" w:line="252" w:lineRule="auto"/>
        <w:ind w:left="0" w:right="0" w:firstLine="720"/>
        <w:jc w:val="both"/>
      </w:pPr>
      <w:r>
        <w:rPr>
          <w:color w:val="000000"/>
          <w:spacing w:val="0"/>
          <w:w w:val="100"/>
          <w:position w:val="0"/>
          <w:shd w:val="clear" w:color="auto" w:fill="auto"/>
          <w:lang w:val="ru-RU" w:eastAsia="ru-RU" w:bidi="ru-RU"/>
        </w:rPr>
        <w:t>Председатель Комиссии:</w:t>
        <w:tab/>
        <w:t>Б.Б. Точиев</w:t>
      </w:r>
    </w:p>
    <w:p>
      <w:pPr>
        <w:pStyle w:val="Style10"/>
        <w:keepNext w:val="0"/>
        <w:keepLines w:val="0"/>
        <w:widowControl w:val="0"/>
        <w:shd w:val="clear" w:color="auto" w:fill="auto"/>
        <w:tabs>
          <w:tab w:pos="7752" w:val="left"/>
        </w:tabs>
        <w:bidi w:val="0"/>
        <w:spacing w:before="0" w:after="580" w:line="252" w:lineRule="auto"/>
        <w:ind w:left="0" w:right="0" w:firstLine="720"/>
        <w:jc w:val="both"/>
      </w:pPr>
      <w:r>
        <w:rPr>
          <w:color w:val="000000"/>
          <w:spacing w:val="0"/>
          <w:w w:val="100"/>
          <w:position w:val="0"/>
          <w:shd w:val="clear" w:color="auto" w:fill="auto"/>
          <w:lang w:val="ru-RU" w:eastAsia="ru-RU" w:bidi="ru-RU"/>
        </w:rPr>
        <w:t>Члены комиссии:</w:t>
        <w:tab/>
        <w:t>А.А. Аушев</w:t>
      </w:r>
    </w:p>
    <w:p>
      <w:pPr>
        <w:pStyle w:val="Style10"/>
        <w:keepNext w:val="0"/>
        <w:keepLines w:val="0"/>
        <w:widowControl w:val="0"/>
        <w:shd w:val="clear" w:color="auto" w:fill="auto"/>
        <w:bidi w:val="0"/>
        <w:spacing w:before="0" w:after="2400" w:line="240" w:lineRule="auto"/>
        <w:ind w:left="0" w:right="740" w:firstLine="0"/>
        <w:jc w:val="right"/>
      </w:pPr>
      <w:r>
        <w:rPr>
          <w:color w:val="000000"/>
          <w:spacing w:val="0"/>
          <w:w w:val="100"/>
          <w:position w:val="0"/>
          <w:shd w:val="clear" w:color="auto" w:fill="auto"/>
          <w:lang w:val="ru-RU" w:eastAsia="ru-RU" w:bidi="ru-RU"/>
        </w:rPr>
        <w:t>А.Б. Торшкоев</w:t>
      </w:r>
    </w:p>
    <w:p>
      <w:pPr>
        <w:pStyle w:val="Style5"/>
        <w:keepNext w:val="0"/>
        <w:keepLines w:val="0"/>
        <w:widowControl w:val="0"/>
        <w:shd w:val="clear" w:color="auto" w:fill="auto"/>
        <w:bidi w:val="0"/>
        <w:spacing w:before="0" w:after="420" w:line="240" w:lineRule="auto"/>
        <w:ind w:left="0" w:right="0" w:firstLine="74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12"/>
      <w:footerReference w:type="default" r:id="rId13"/>
      <w:footnotePr>
        <w:pos w:val="pageBottom"/>
        <w:numFmt w:val="decimal"/>
        <w:numRestart w:val="continuous"/>
      </w:footnotePr>
      <w:pgSz w:w="11900" w:h="16840"/>
      <w:pgMar w:top="1710" w:right="538" w:bottom="1374"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0080" cy="100330"/>
              <wp:wrapNone/>
              <wp:docPr id="11" name="Shape 1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2024-3353</w:t>
                          </w:r>
                        </w:p>
                      </w:txbxContent>
                    </wps:txbx>
                    <wps:bodyPr wrap="none" lIns="0" tIns="0" rIns="0" bIns="0">
                      <a:spAutoFit/>
                    </wps:bodyPr>
                  </wps:wsp>
                </a:graphicData>
              </a:graphic>
            </wp:anchor>
          </w:drawing>
        </mc:Choice>
        <mc:Fallback>
          <w:pict>
            <v:shape id="_x0000_s1037" type="#_x0000_t202" style="position:absolute;margin-left:57.pt;margin-top:776.20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719455</wp:posOffset>
              </wp:positionH>
              <wp:positionV relativeFrom="page">
                <wp:posOffset>10016490</wp:posOffset>
              </wp:positionV>
              <wp:extent cx="640080" cy="100330"/>
              <wp:wrapNone/>
              <wp:docPr id="15" name="Shape 1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2024-3353</w:t>
                          </w:r>
                        </w:p>
                      </w:txbxContent>
                    </wps:txbx>
                    <wps:bodyPr wrap="none" lIns="0" tIns="0" rIns="0" bIns="0">
                      <a:spAutoFit/>
                    </wps:bodyPr>
                  </wps:wsp>
                </a:graphicData>
              </a:graphic>
            </wp:anchor>
          </w:drawing>
        </mc:Choice>
        <mc:Fallback>
          <w:pict>
            <v:shape id="_x0000_s1041" type="#_x0000_t202" style="position:absolute;margin-left:56.649999999999999pt;margin-top:788.70000000000005pt;width:50.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3916680</wp:posOffset>
              </wp:positionH>
              <wp:positionV relativeFrom="page">
                <wp:posOffset>765810</wp:posOffset>
              </wp:positionV>
              <wp:extent cx="76200" cy="121920"/>
              <wp:wrapNone/>
              <wp:docPr id="13" name="Shape 13"/>
              <a:graphic xmlns:a="http://schemas.openxmlformats.org/drawingml/2006/main">
                <a:graphicData uri="http://schemas.microsoft.com/office/word/2010/wordprocessingShape">
                  <wps:wsp>
                    <wps:cNvSpPr txBox="1"/>
                    <wps:spPr>
                      <a:xfrm>
                        <a:ext cx="76200" cy="12192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40000000000003pt;margin-top:60.300000000000004pt;width:6.pt;height:9.5999999999999996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spacing w:after="15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2)"/>
    <w:basedOn w:val="Normal"/>
    <w:link w:val="CharStyle6"/>
    <w:pPr>
      <w:widowControl w:val="0"/>
      <w:shd w:val="clear" w:color="auto" w:fill="auto"/>
      <w:spacing w:after="180"/>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header" Target="header1.xml"/><Relationship Id="rId13" Type="http://schemas.openxmlformats.org/officeDocument/2006/relationships/footer" Target="footer2.xml"/></Relationships>
</file>