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1781175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729615</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450000000000003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732790</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729615</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450000000000003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600" w:right="0" w:firstLine="20"/>
        <w:jc w:val="left"/>
      </w:pPr>
      <w:r>
        <w:rPr>
          <w:color w:val="000000"/>
          <w:spacing w:val="0"/>
          <w:w w:val="100"/>
          <w:position w:val="0"/>
          <w:sz w:val="24"/>
          <w:szCs w:val="24"/>
          <w:shd w:val="clear" w:color="auto" w:fill="auto"/>
          <w:lang w:val="ru-RU" w:eastAsia="ru-RU" w:bidi="ru-RU"/>
        </w:rPr>
        <w:t>ООО «МИРТУС»</w:t>
      </w:r>
    </w:p>
    <w:p>
      <w:pPr>
        <w:pStyle w:val="Style10"/>
        <w:keepNext w:val="0"/>
        <w:keepLines w:val="0"/>
        <w:widowControl w:val="0"/>
        <w:shd w:val="clear" w:color="auto" w:fill="auto"/>
        <w:bidi w:val="0"/>
        <w:spacing w:before="0" w:after="0" w:line="240" w:lineRule="auto"/>
        <w:ind w:left="600" w:right="0" w:firstLine="20"/>
        <w:jc w:val="left"/>
      </w:pPr>
      <w:r>
        <w:rPr>
          <w:color w:val="000000"/>
          <w:spacing w:val="0"/>
          <w:w w:val="100"/>
          <w:position w:val="0"/>
          <w:sz w:val="24"/>
          <w:szCs w:val="24"/>
          <w:shd w:val="clear" w:color="auto" w:fill="auto"/>
          <w:lang w:val="ru-RU" w:eastAsia="ru-RU" w:bidi="ru-RU"/>
        </w:rPr>
        <w:t>а/я 135, ул. Новослободская, д. 49/2,</w:t>
      </w:r>
    </w:p>
    <w:p>
      <w:pPr>
        <w:pStyle w:val="Style10"/>
        <w:keepNext w:val="0"/>
        <w:keepLines w:val="0"/>
        <w:widowControl w:val="0"/>
        <w:shd w:val="clear" w:color="auto" w:fill="auto"/>
        <w:bidi w:val="0"/>
        <w:spacing w:before="0" w:after="0" w:line="240" w:lineRule="auto"/>
        <w:ind w:left="600" w:right="0" w:firstLine="20"/>
        <w:jc w:val="left"/>
      </w:pPr>
      <w:r>
        <w:rPr>
          <w:color w:val="000000"/>
          <w:spacing w:val="0"/>
          <w:w w:val="100"/>
          <w:position w:val="0"/>
          <w:sz w:val="24"/>
          <w:szCs w:val="24"/>
          <w:shd w:val="clear" w:color="auto" w:fill="auto"/>
          <w:lang w:val="ru-RU" w:eastAsia="ru-RU" w:bidi="ru-RU"/>
        </w:rPr>
        <w:t>г. Москва, 127055</w:t>
      </w:r>
    </w:p>
    <w:p>
      <w:pPr>
        <w:pStyle w:val="Style10"/>
        <w:keepNext w:val="0"/>
        <w:keepLines w:val="0"/>
        <w:widowControl w:val="0"/>
        <w:shd w:val="clear" w:color="auto" w:fill="auto"/>
        <w:bidi w:val="0"/>
        <w:spacing w:before="0" w:after="0" w:line="240" w:lineRule="auto"/>
        <w:ind w:left="600" w:right="0" w:firstLine="20"/>
        <w:jc w:val="left"/>
      </w:pPr>
      <w:r>
        <w:rPr>
          <w:color w:val="000000"/>
          <w:spacing w:val="0"/>
          <w:w w:val="100"/>
          <w:position w:val="0"/>
          <w:sz w:val="24"/>
          <w:szCs w:val="24"/>
          <w:shd w:val="clear" w:color="auto" w:fill="auto"/>
          <w:lang w:val="ru-RU" w:eastAsia="ru-RU" w:bidi="ru-RU"/>
        </w:rPr>
        <w:t>ул. Малая Семёновская, д. 11/2, стр. 4, помещ.</w:t>
      </w:r>
    </w:p>
    <w:p>
      <w:pPr>
        <w:pStyle w:val="Style10"/>
        <w:keepNext w:val="0"/>
        <w:keepLines w:val="0"/>
        <w:widowControl w:val="0"/>
        <w:shd w:val="clear" w:color="auto" w:fill="auto"/>
        <w:bidi w:val="0"/>
        <w:spacing w:before="0" w:after="0" w:line="240" w:lineRule="auto"/>
        <w:ind w:left="600" w:right="0" w:firstLine="20"/>
        <w:jc w:val="left"/>
      </w:pPr>
      <w:r>
        <w:rPr>
          <w:color w:val="000000"/>
          <w:spacing w:val="0"/>
          <w:w w:val="100"/>
          <w:position w:val="0"/>
          <w:sz w:val="24"/>
          <w:szCs w:val="24"/>
          <w:shd w:val="clear" w:color="auto" w:fill="auto"/>
          <w:lang w:val="ru-RU" w:eastAsia="ru-RU" w:bidi="ru-RU"/>
        </w:rPr>
        <w:t>10А, 3 этаж, ком. 2, г. Москва, 107023</w:t>
      </w:r>
    </w:p>
    <w:p>
      <w:pPr>
        <w:pStyle w:val="Style10"/>
        <w:keepNext w:val="0"/>
        <w:keepLines w:val="0"/>
        <w:widowControl w:val="0"/>
        <w:shd w:val="clear" w:color="auto" w:fill="auto"/>
        <w:bidi w:val="0"/>
        <w:spacing w:before="0" w:after="240" w:line="240" w:lineRule="auto"/>
        <w:ind w:left="600" w:right="0" w:firstLine="20"/>
        <w:jc w:val="left"/>
      </w:pPr>
      <w:r>
        <w:rPr>
          <w:color w:val="000000"/>
          <w:spacing w:val="0"/>
          <w:w w:val="100"/>
          <w:position w:val="0"/>
          <w:sz w:val="24"/>
          <w:szCs w:val="24"/>
          <w:shd w:val="clear" w:color="auto" w:fill="auto"/>
          <w:lang w:val="ru-RU" w:eastAsia="ru-RU" w:bidi="ru-RU"/>
        </w:rPr>
        <w:t>1епдег@т^и8.ш</w:t>
      </w:r>
    </w:p>
    <w:p>
      <w:pPr>
        <w:pStyle w:val="Style10"/>
        <w:keepNext w:val="0"/>
        <w:keepLines w:val="0"/>
        <w:widowControl w:val="0"/>
        <w:shd w:val="clear" w:color="auto" w:fill="auto"/>
        <w:bidi w:val="0"/>
        <w:spacing w:before="0" w:after="0" w:line="240" w:lineRule="auto"/>
        <w:ind w:left="600" w:right="0" w:firstLine="20"/>
        <w:jc w:val="left"/>
      </w:pPr>
      <w:r>
        <w:rPr>
          <w:color w:val="000000"/>
          <w:spacing w:val="0"/>
          <w:w w:val="100"/>
          <w:position w:val="0"/>
          <w:sz w:val="24"/>
          <w:szCs w:val="24"/>
          <w:shd w:val="clear" w:color="auto" w:fill="auto"/>
          <w:lang w:val="ru-RU" w:eastAsia="ru-RU" w:bidi="ru-RU"/>
        </w:rPr>
        <w:t>ФГБУЗ «Клиническая больница № 51</w:t>
      </w:r>
    </w:p>
    <w:p>
      <w:pPr>
        <w:pStyle w:val="Style10"/>
        <w:keepNext w:val="0"/>
        <w:keepLines w:val="0"/>
        <w:widowControl w:val="0"/>
        <w:shd w:val="clear" w:color="auto" w:fill="auto"/>
        <w:bidi w:val="0"/>
        <w:spacing w:before="0" w:after="240" w:line="240" w:lineRule="auto"/>
        <w:ind w:left="600" w:right="0" w:firstLine="20"/>
        <w:jc w:val="left"/>
      </w:pPr>
      <w:r>
        <w:rPr>
          <w:color w:val="000000"/>
          <w:spacing w:val="0"/>
          <w:w w:val="100"/>
          <w:position w:val="0"/>
          <w:sz w:val="24"/>
          <w:szCs w:val="24"/>
          <w:shd w:val="clear" w:color="auto" w:fill="auto"/>
          <w:lang w:val="ru-RU" w:eastAsia="ru-RU" w:bidi="ru-RU"/>
        </w:rPr>
        <w:t>Федерального медико-биологического агентства» ул. Кирова, д. 5, г. Железногорск, 662971 кЬ51@кЬ51.ш; ро1уакоVа@кЬ51.ш; Шт@кЬ51.ш</w:t>
      </w:r>
    </w:p>
    <w:p>
      <w:pPr>
        <w:pStyle w:val="Style10"/>
        <w:keepNext w:val="0"/>
        <w:keepLines w:val="0"/>
        <w:widowControl w:val="0"/>
        <w:shd w:val="clear" w:color="auto" w:fill="auto"/>
        <w:bidi w:val="0"/>
        <w:spacing w:before="0" w:after="0" w:line="240" w:lineRule="auto"/>
        <w:ind w:left="0" w:right="0" w:firstLine="600"/>
        <w:jc w:val="left"/>
      </w:pPr>
      <w:r>
        <w:rPr>
          <w:color w:val="000000"/>
          <w:spacing w:val="0"/>
          <w:w w:val="100"/>
          <w:position w:val="0"/>
          <w:sz w:val="24"/>
          <w:szCs w:val="24"/>
          <w:shd w:val="clear" w:color="auto" w:fill="auto"/>
          <w:lang w:val="ru-RU" w:eastAsia="ru-RU" w:bidi="ru-RU"/>
        </w:rPr>
        <w:t>ООО «РТС-тендер»</w:t>
      </w:r>
    </w:p>
    <w:p>
      <w:pPr>
        <w:pStyle w:val="Style10"/>
        <w:keepNext w:val="0"/>
        <w:keepLines w:val="0"/>
        <w:widowControl w:val="0"/>
        <w:shd w:val="clear" w:color="auto" w:fill="auto"/>
        <w:bidi w:val="0"/>
        <w:spacing w:before="0" w:after="1120" w:line="240" w:lineRule="auto"/>
        <w:ind w:left="600" w:right="0" w:firstLine="20"/>
        <w:jc w:val="left"/>
      </w:pPr>
      <w:r>
        <w:rPr>
          <w:color w:val="000000"/>
          <w:spacing w:val="0"/>
          <w:w w:val="100"/>
          <w:position w:val="0"/>
          <w:sz w:val="24"/>
          <w:szCs w:val="24"/>
          <w:shd w:val="clear" w:color="auto" w:fill="auto"/>
          <w:lang w:val="ru-RU" w:eastAsia="ru-RU" w:bidi="ru-RU"/>
        </w:rPr>
        <w:t>наб. Тараса Шевченко, д. 23-А, г. Москва, 121151 ко@1Д8-1епдег.ш; тГо@1Д8-1епдег.ш</w:t>
      </w:r>
    </w:p>
    <w:p>
      <w:pPr>
        <w:pStyle w:val="Style10"/>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Решение № 024/06/106-3139/2024</w:t>
      </w:r>
    </w:p>
    <w:p>
      <w:pPr>
        <w:pStyle w:val="Style10"/>
        <w:keepNext w:val="0"/>
        <w:keepLines w:val="0"/>
        <w:widowControl w:val="0"/>
        <w:shd w:val="clear" w:color="auto" w:fill="auto"/>
        <w:tabs>
          <w:tab w:pos="8741"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11 октября 2024 года</w:t>
        <w:tab/>
        <w:t>г. Красноярск</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заместитель руководителя, М.А. Дударева, члены Комиссии - начальник отдела, М.А. Грицай, заместитель начальника отдела, Е.А. Шмыгина (далее - Комиссия), рассмотрев жалобу ООО «МИРТУС» (далее - податель жалобы) на действия комиссии по осуществлению закупок заказчика - Федерального государственного бюджетного учреждения здравоохранения «Клиническая больница № 51 Федерального медико-биологического агентства» (далее - аукционная комиссия,) при проведении аукциона в электронной форме «Поставка лекарственного препарата для медицинского применения Доцетаксел на 2025 год» (далее - электронный аукцион, закупка), извещение № 0319100002624000545 на электронной торговой площадке ООО «РТС-тендер» (далее - оператор электронной площадки), установила следующее.</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порядка рассмотрения заявок участников электронного аукциона, предусмотренного Федеральным законом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 адреса заказчика, подателя жалобы, оператора электронной площадки было направлено уведомление о содержании жалобы с информацией о месте и времени ее рассмотрения.</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Явку своих представителей на заседание Комиссии по рассмотрению жалобы по существу податель жалобы, заказчик не обеспечили, заказчик ходатайствовал о рассмотрении жалобы без участия его представителя.</w:t>
      </w:r>
    </w:p>
    <w:p>
      <w:pPr>
        <w:pStyle w:val="Style10"/>
        <w:keepNext w:val="0"/>
        <w:keepLines w:val="0"/>
        <w:widowControl w:val="0"/>
        <w:shd w:val="clear" w:color="auto" w:fill="auto"/>
        <w:bidi w:val="0"/>
        <w:spacing w:before="0" w:after="440" w:line="240" w:lineRule="auto"/>
        <w:ind w:left="0" w:right="0" w:firstLine="620"/>
        <w:jc w:val="both"/>
      </w:pPr>
      <w:r>
        <w:rPr>
          <w:color w:val="000000"/>
          <w:spacing w:val="0"/>
          <w:w w:val="100"/>
          <w:position w:val="0"/>
          <w:sz w:val="24"/>
          <w:szCs w:val="24"/>
          <w:shd w:val="clear" w:color="auto" w:fill="auto"/>
          <w:lang w:val="ru-RU" w:eastAsia="ru-RU" w:bidi="ru-RU"/>
        </w:rPr>
        <w:t>Из доводов жалобы следует, что аукционной комиссией допущены нарушения Постановления Правительства РФ от 30.11.2015 № 1289 и части 5 статьи 49 Закона о контрактной системе. Податель жалобы не исключает ситуацию, когда имелась совокупность установленных</w:t>
      </w:r>
    </w:p>
    <w:p>
      <w:pPr>
        <w:pStyle w:val="Style15"/>
        <w:keepNext/>
        <w:keepLines/>
        <w:widowControl w:val="0"/>
        <w:shd w:val="clear" w:color="auto" w:fill="auto"/>
        <w:bidi w:val="0"/>
        <w:spacing w:before="0" w:after="0" w:line="240" w:lineRule="auto"/>
        <w:ind w:left="0" w:right="0" w:firstLine="0"/>
        <w:jc w:val="left"/>
        <w:rPr>
          <w:sz w:val="24"/>
          <w:szCs w:val="24"/>
        </w:rPr>
      </w:pPr>
      <w:bookmarkStart w:id="0" w:name="bookmark0"/>
      <w:r>
        <w:rPr>
          <w:color w:val="000000"/>
          <w:spacing w:val="0"/>
          <w:w w:val="100"/>
          <w:position w:val="0"/>
          <w:sz w:val="32"/>
          <w:szCs w:val="32"/>
          <w:shd w:val="clear" w:color="auto" w:fill="auto"/>
          <w:lang w:val="ru-RU" w:eastAsia="ru-RU" w:bidi="ru-RU"/>
        </w:rPr>
        <w:t>111111111111111111 ИНН</w:t>
      </w:r>
      <w:bookmarkEnd w:id="0"/>
      <w:r>
        <w:rPr>
          <w:color w:val="000000"/>
          <w:spacing w:val="0"/>
          <w:w w:val="100"/>
          <w:position w:val="0"/>
          <w:sz w:val="32"/>
          <w:szCs w:val="32"/>
          <w:shd w:val="clear" w:color="auto" w:fill="auto"/>
          <w:lang w:val="ru-RU" w:eastAsia="ru-RU" w:bidi="ru-RU"/>
        </w:rPr>
        <w:t xml:space="preserve"> </w:t>
      </w:r>
      <w:r>
        <w:rPr>
          <w:rStyle w:val="CharStyle11"/>
        </w:rPr>
        <w:t>пунктом 1 Постановления Правительства РФ от 30.11.2015 № 1289 условий, при которых заявки участников закупки могли содержать предложения о поставке лекарственного препарата иностранного производства и подлежали отклонению.</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адрес Красноярского УФАС России заказчиком были представлены письменные возражения, сообщающие о том, что аукционной комиссией заявки были рассмотрены в соответствии с требованиями Закона о контрактной системе, Постановления Правительства Российской Федерации от 30.11.2015 №1289.</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потребностью заказчиком были совершены действия по определению поставщика (подрядчика, исполнителя) лекарственного препарата для медицинского применения Доцетаксел на 2025 год.</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(часть 2 статьи 42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Изучив содержание извещения о проведении электронного аукциона, Комиссия установила, что, исходя из раздела «Информация об объекте закупки» структурированной формы извещения, электронного документа «Приложение №3_Описание закупки_ЛП_Доцетаксел», фактической потребностью заказчика является поставка лекарственного препарата (Доцетаксел).</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Постановлением Правительства РФ от 30.11.2015 № 1289 установлены 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Закупаемый лекарственный препарат (Доцетаксел) включен в перечень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 утвержденный Распоряжением Правительства Российской Федерации от 12.10.2019 № 2406-р.</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Приказом Министерства финансов России от 04.06.2018 № 126н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 о проведении закупки содержит как ограничение допуска и условия допуска в соответствии с Постановлением № 1289, так и условия допуска согласно приказу № 126н.</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пункте 1 Постановления №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0"/>
        <w:keepNext w:val="0"/>
        <w:keepLines w:val="0"/>
        <w:widowControl w:val="0"/>
        <w:numPr>
          <w:ilvl w:val="0"/>
          <w:numId w:val="1"/>
        </w:numPr>
        <w:shd w:val="clear" w:color="auto" w:fill="auto"/>
        <w:tabs>
          <w:tab w:pos="787"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0"/>
        <w:keepNext w:val="0"/>
        <w:keepLines w:val="0"/>
        <w:widowControl w:val="0"/>
        <w:numPr>
          <w:ilvl w:val="0"/>
          <w:numId w:val="1"/>
        </w:numPr>
        <w:shd w:val="clear" w:color="auto" w:fill="auto"/>
        <w:tabs>
          <w:tab w:pos="787"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Согласно пункту 1(1) Постановления № 1289 в случае если после отклонения заявок (окончательных предложений) в порядке, установленном пунктом 1 Постановления №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w:t>
      </w:r>
      <w:r>
        <w:rPr>
          <w:color w:val="000000"/>
          <w:spacing w:val="0"/>
          <w:w w:val="100"/>
          <w:position w:val="0"/>
          <w:sz w:val="24"/>
          <w:szCs w:val="24"/>
          <w:shd w:val="clear" w:color="auto" w:fill="auto"/>
          <w:lang w:val="ru-RU" w:eastAsia="ru-RU" w:bidi="ru-RU"/>
        </w:rPr>
        <w:t>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пункте 1(2) Постановления № 1289 установлено, что подтверждением соответствия лекарственного препарата и фармацевтической субстанции требованиям, указанным в пункте 1(1) Постановления №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03.11.2016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2 Постановления № 1289 подтверждением страны происхождения лекарственного препарата является один из следующих документов:</w:t>
      </w:r>
    </w:p>
    <w:p>
      <w:pPr>
        <w:pStyle w:val="Style10"/>
        <w:keepNext w:val="0"/>
        <w:keepLines w:val="0"/>
        <w:widowControl w:val="0"/>
        <w:numPr>
          <w:ilvl w:val="0"/>
          <w:numId w:val="3"/>
        </w:numPr>
        <w:shd w:val="clear" w:color="auto" w:fill="auto"/>
        <w:tabs>
          <w:tab w:pos="987"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предусмотренными указанными Правилами;</w:t>
      </w:r>
    </w:p>
    <w:p>
      <w:pPr>
        <w:pStyle w:val="Style10"/>
        <w:keepNext w:val="0"/>
        <w:keepLines w:val="0"/>
        <w:widowControl w:val="0"/>
        <w:numPr>
          <w:ilvl w:val="0"/>
          <w:numId w:val="3"/>
        </w:numPr>
        <w:shd w:val="clear" w:color="auto" w:fill="auto"/>
        <w:tabs>
          <w:tab w:pos="987"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w:t>
      </w:r>
    </w:p>
    <w:p>
      <w:pPr>
        <w:pStyle w:val="Style10"/>
        <w:keepNext w:val="0"/>
        <w:keepLines w:val="0"/>
        <w:widowControl w:val="0"/>
        <w:numPr>
          <w:ilvl w:val="0"/>
          <w:numId w:val="3"/>
        </w:numPr>
        <w:shd w:val="clear" w:color="auto" w:fill="auto"/>
        <w:tabs>
          <w:tab w:pos="987"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предусмотренными указанными Правилами.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1.4 Приказа № 126н в случае отклонения заявок в соответствии с пунктом 1 Постановления № 1289, контракт заключается с участником закупки по предложенной им цене контракта при совокупности следующих условий:</w:t>
      </w:r>
    </w:p>
    <w:p>
      <w:pPr>
        <w:pStyle w:val="Style10"/>
        <w:keepNext w:val="0"/>
        <w:keepLines w:val="0"/>
        <w:widowControl w:val="0"/>
        <w:numPr>
          <w:ilvl w:val="0"/>
          <w:numId w:val="5"/>
        </w:numPr>
        <w:shd w:val="clear" w:color="auto" w:fill="auto"/>
        <w:tabs>
          <w:tab w:pos="987"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0"/>
        <w:keepNext w:val="0"/>
        <w:keepLines w:val="0"/>
        <w:widowControl w:val="0"/>
        <w:numPr>
          <w:ilvl w:val="0"/>
          <w:numId w:val="5"/>
        </w:numPr>
        <w:shd w:val="clear" w:color="auto" w:fill="auto"/>
        <w:tabs>
          <w:tab w:pos="987"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w:t>
      </w:r>
    </w:p>
    <w:p>
      <w:pPr>
        <w:pStyle w:val="Style10"/>
        <w:keepNext w:val="0"/>
        <w:keepLines w:val="0"/>
        <w:widowControl w:val="0"/>
        <w:numPr>
          <w:ilvl w:val="0"/>
          <w:numId w:val="5"/>
        </w:numPr>
        <w:shd w:val="clear" w:color="auto" w:fill="auto"/>
        <w:tabs>
          <w:tab w:pos="89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настоящего подпункта;</w:t>
      </w:r>
    </w:p>
    <w:p>
      <w:pPr>
        <w:pStyle w:val="Style10"/>
        <w:keepNext w:val="0"/>
        <w:keepLines w:val="0"/>
        <w:widowControl w:val="0"/>
        <w:numPr>
          <w:ilvl w:val="0"/>
          <w:numId w:val="5"/>
        </w:numPr>
        <w:shd w:val="clear" w:color="auto" w:fill="auto"/>
        <w:tabs>
          <w:tab w:pos="89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настоящего подпункта.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 (пункт 1.6 Приказа № 126н).</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1 статьи 49 Закона о контрактной системе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Для участия в конкурентном способе заявка на участие в закупке, если иное не предусмотрено Законом о контрактной системе, должна содержать в рамках предложения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наименование страны происхождения товара в соответствии с общероссийским классификатором, используемым для идентификации стран мира (подпункты «а», «б» пункта 2 части 1 статьи 43 Закона о контрактной системе).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5 части 1 статьи 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установлено, что требования о предоставлении в составе заявки документов и сведений, предусмотренных Постановлением № 1289, Приказом № 126н, установлены в электронном документе «Приложение № 4_ Требования к заявке+инструкция_ЛС_126н,1289», являющимся приложением к извещению о проведении электронного аукциона.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 1 части 5 статьи 49 Закона о контрактной системе устанавливает,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pPr>
        <w:pStyle w:val="Style10"/>
        <w:keepNext w:val="0"/>
        <w:keepLines w:val="0"/>
        <w:widowControl w:val="0"/>
        <w:numPr>
          <w:ilvl w:val="0"/>
          <w:numId w:val="7"/>
        </w:numPr>
        <w:shd w:val="clear" w:color="auto" w:fill="auto"/>
        <w:tabs>
          <w:tab w:pos="89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w:t>
      </w:r>
    </w:p>
    <w:p>
      <w:pPr>
        <w:pStyle w:val="Style10"/>
        <w:keepNext w:val="0"/>
        <w:keepLines w:val="0"/>
        <w:widowControl w:val="0"/>
        <w:numPr>
          <w:ilvl w:val="0"/>
          <w:numId w:val="7"/>
        </w:numPr>
        <w:shd w:val="clear" w:color="auto" w:fill="auto"/>
        <w:tabs>
          <w:tab w:pos="90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пункта 1 части 5 статьи 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Часть 12 статьи 48 Закона о контратакой системе устанавливают, что при рассмотрении вторых частей заявок на участие в закупке соответствующая заявка подлежит отклонению в случаях:</w:t>
      </w:r>
    </w:p>
    <w:p>
      <w:pPr>
        <w:pStyle w:val="Style10"/>
        <w:keepNext w:val="0"/>
        <w:keepLines w:val="0"/>
        <w:widowControl w:val="0"/>
        <w:numPr>
          <w:ilvl w:val="0"/>
          <w:numId w:val="9"/>
        </w:numPr>
        <w:shd w:val="clear" w:color="auto" w:fill="auto"/>
        <w:tabs>
          <w:tab w:pos="90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о контратакой системе) в заявке на участие в закупке информации и документов, предусмотренных извещением об осуществлении закупки в соответствии с Законос о контратакой системе (за исключением информации и документов, предусмотренных пунктами 2 и 3 части 6 статьи 43 Закона о контратакой системе),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numPr>
          <w:ilvl w:val="0"/>
          <w:numId w:val="9"/>
        </w:numPr>
        <w:shd w:val="clear" w:color="auto" w:fill="auto"/>
        <w:tabs>
          <w:tab w:pos="90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пунктами 2 и 3 части 6 статьи 43 Закона о контратакой системе,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numPr>
          <w:ilvl w:val="0"/>
          <w:numId w:val="9"/>
        </w:numPr>
        <w:shd w:val="clear" w:color="auto" w:fill="auto"/>
        <w:tabs>
          <w:tab w:pos="90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Закона о контратакой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контратакой системе;</w:t>
      </w:r>
    </w:p>
    <w:p>
      <w:pPr>
        <w:pStyle w:val="Style10"/>
        <w:keepNext w:val="0"/>
        <w:keepLines w:val="0"/>
        <w:widowControl w:val="0"/>
        <w:numPr>
          <w:ilvl w:val="0"/>
          <w:numId w:val="9"/>
        </w:numPr>
        <w:shd w:val="clear" w:color="auto" w:fill="auto"/>
        <w:tabs>
          <w:tab w:pos="90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статьей 14 Закона о контратакой системе (за исключением случаев непредставления информации и документов, предусмотренных пунктом 5 части 1 статьи 43 Закона о контратакой системе);</w:t>
      </w:r>
    </w:p>
    <w:p>
      <w:pPr>
        <w:pStyle w:val="Style10"/>
        <w:keepNext w:val="0"/>
        <w:keepLines w:val="0"/>
        <w:widowControl w:val="0"/>
        <w:numPr>
          <w:ilvl w:val="0"/>
          <w:numId w:val="9"/>
        </w:numPr>
        <w:shd w:val="clear" w:color="auto" w:fill="auto"/>
        <w:tabs>
          <w:tab w:pos="90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пунктом 5 части 1 статьи 43 Закона о контратакой системе, если такие документы предусмотрены нормативными правовыми актами, принятыми в соответствии с частью 3 статьи 14 Закона о контратакой системе (в случае установления в соответствии со статьей 14 Закона о контратакой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0"/>
        <w:keepNext w:val="0"/>
        <w:keepLines w:val="0"/>
        <w:widowControl w:val="0"/>
        <w:numPr>
          <w:ilvl w:val="0"/>
          <w:numId w:val="9"/>
        </w:numPr>
        <w:shd w:val="clear" w:color="auto" w:fill="auto"/>
        <w:tabs>
          <w:tab w:pos="90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04.06.2018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0"/>
        <w:keepNext w:val="0"/>
        <w:keepLines w:val="0"/>
        <w:widowControl w:val="0"/>
        <w:numPr>
          <w:ilvl w:val="0"/>
          <w:numId w:val="9"/>
        </w:numPr>
        <w:shd w:val="clear" w:color="auto" w:fill="auto"/>
        <w:tabs>
          <w:tab w:pos="149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предусмотренных частью 6 статьи 45 Закона о контратакой системе;</w:t>
      </w:r>
    </w:p>
    <w:p>
      <w:pPr>
        <w:pStyle w:val="Style10"/>
        <w:keepNext w:val="0"/>
        <w:keepLines w:val="0"/>
        <w:widowControl w:val="0"/>
        <w:numPr>
          <w:ilvl w:val="0"/>
          <w:numId w:val="9"/>
        </w:numPr>
        <w:shd w:val="clear" w:color="auto" w:fill="auto"/>
        <w:tabs>
          <w:tab w:pos="149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10"/>
        <w:keepNext w:val="0"/>
        <w:keepLines w:val="0"/>
        <w:widowControl w:val="0"/>
        <w:numPr>
          <w:ilvl w:val="0"/>
          <w:numId w:val="9"/>
        </w:numPr>
        <w:shd w:val="clear" w:color="auto" w:fill="auto"/>
        <w:tabs>
          <w:tab w:pos="90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Закона о контратакой системе.</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Согласно сведениям Протокола подведения итогов определения поставщика (подрядчика, исполнителя) от 03.10.2024 №ИЭА1 аукционной комиссией были рассмотрены заявки:</w:t>
      </w:r>
    </w:p>
    <w:tbl>
      <w:tblPr>
        <w:tblOverlap w:val="never"/>
        <w:jc w:val="center"/>
        <w:tblLayout w:type="fixed"/>
      </w:tblPr>
      <w:tblGrid>
        <w:gridCol w:w="2160"/>
        <w:gridCol w:w="2242"/>
        <w:gridCol w:w="1306"/>
        <w:gridCol w:w="4536"/>
      </w:tblGrid>
      <w:tr>
        <w:trPr>
          <w:trHeight w:val="1008" w:hRule="exact"/>
        </w:trPr>
        <w:tc>
          <w:tcPr>
            <w:tcBorders>
              <w:top w:val="single" w:sz="4"/>
              <w:left w:val="single" w:sz="4"/>
              <w:bottom w:val="single" w:sz="4"/>
            </w:tcBorders>
            <w:shd w:val="clear" w:color="auto" w:fill="D9D9D9"/>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Порядковый номер заявки, присвоенный оператором электронной площадки</w:t>
            </w:r>
          </w:p>
        </w:tc>
        <w:tc>
          <w:tcPr>
            <w:tcBorders>
              <w:top w:val="single" w:sz="4"/>
              <w:left w:val="single" w:sz="4"/>
              <w:bottom w:val="single" w:sz="4"/>
            </w:tcBorders>
            <w:shd w:val="clear" w:color="auto" w:fill="D9D9D9"/>
            <w:vAlign w:val="bottom"/>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Идентификационный номер заявки, присвоенный оператором электронной площадки</w:t>
            </w:r>
          </w:p>
        </w:tc>
        <w:tc>
          <w:tcPr>
            <w:tcBorders>
              <w:top w:val="single" w:sz="4"/>
              <w:left w:val="single" w:sz="4"/>
              <w:bottom w:val="single" w:sz="4"/>
            </w:tcBorders>
            <w:shd w:val="clear" w:color="auto" w:fill="D9D9D9"/>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Ценовое предложение</w:t>
            </w:r>
          </w:p>
        </w:tc>
        <w:tc>
          <w:tcPr>
            <w:tcBorders>
              <w:top w:val="single" w:sz="4"/>
              <w:left w:val="single" w:sz="4"/>
              <w:bottom w:val="single" w:sz="4"/>
              <w:right w:val="single" w:sz="4"/>
            </w:tcBorders>
            <w:shd w:val="clear" w:color="auto" w:fill="D9D9D9"/>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Решение о соответствии извещению об осуществлении закупки или решение об отклонении заявки на участие в закупке</w:t>
            </w:r>
          </w:p>
        </w:tc>
      </w:tr>
    </w:tbl>
    <w:p>
      <w:pPr>
        <w:widowControl w:val="0"/>
        <w:spacing w:line="1" w:lineRule="exact"/>
      </w:pPr>
    </w:p>
    <w:tbl>
      <w:tblPr>
        <w:tblOverlap w:val="never"/>
        <w:jc w:val="center"/>
        <w:tblLayout w:type="fixed"/>
      </w:tblPr>
      <w:tblGrid>
        <w:gridCol w:w="2160"/>
        <w:gridCol w:w="2242"/>
        <w:gridCol w:w="1306"/>
        <w:gridCol w:w="4536"/>
      </w:tblGrid>
      <w:tr>
        <w:trPr>
          <w:trHeight w:val="422" w:hRule="exact"/>
        </w:trPr>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117372125</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184 448,96</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Соответствует требованиям</w:t>
            </w:r>
          </w:p>
        </w:tc>
      </w:tr>
      <w:tr>
        <w:trPr>
          <w:trHeight w:val="418" w:hRule="exact"/>
        </w:trPr>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117368264</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185 000,00</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Соответствует требованиям</w:t>
            </w:r>
          </w:p>
        </w:tc>
      </w:tr>
      <w:tr>
        <w:trPr>
          <w:trHeight w:val="418" w:hRule="exact"/>
        </w:trPr>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117324418</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228 715,00</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Соответствует требованиям</w:t>
            </w:r>
          </w:p>
        </w:tc>
      </w:tr>
      <w:tr>
        <w:trPr>
          <w:trHeight w:val="422" w:hRule="exact"/>
        </w:trPr>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w:t>
            </w: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117369974</w:t>
            </w: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242 696,00</w:t>
            </w:r>
          </w:p>
        </w:tc>
        <w:tc>
          <w:tcPr>
            <w:tcBorders>
              <w:top w:val="single" w:sz="4"/>
              <w:left w:val="single" w:sz="4"/>
              <w:bottom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Соответствует требованиям</w:t>
            </w:r>
          </w:p>
        </w:tc>
      </w:tr>
    </w:tbl>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Проанализировав содержание заявок на участие в закупке, Комиссия установила, что все заявки содержат предложения к поставке лекарственного препарата, страна происхождения Россия, Белоруссия (член Евразийского экономического союза), а также содержат декларации о стране происхождения товара и документы, предусмотренные Постановлением № 1289.</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довод подателя жалобы о том, что заявки участников закупки могли содержать предложения о поставке лекарственного препарата иностранного производства и подлежали отклонению, не подтвердился в ходе рассмотрения жалобы по существу.</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отмечает, что ограничение, установленное, применяется только при наличии всех условий, установленных пунктом 1 Постановления № 1289, в совокупности. При этом должно быть не менее двух, удовлетворяющих требованиям извещения об осуществлении закупки и (или) документации о закупке заявок, которые содержат предложения в отношении всех торговых наименований предлагаемых лекарственных препаратов в рамках одного МНН, страной происхождения которых являются государства - члены Евразийского экономического союза, подтвержденной сертификатом о происхождении товара.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участник закупки, который предлагает лекарственный препарат, страной происхождения которого является государство - член Евразийского экономического союза, с целью подтверждения страны происхождения такого лекарственного препарата в составе своей заявки должен представить документ, подтверждающий страну происхождения лекарственного препарата.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изложенного при наличии двух заявок, соответствующих положениям пункта 1 Постановления № 1289, и содержащих документ, подтверждающий страну происхождения лекарственного препарата, иные заявки участников закупки, содержащие предложения о поставке иностранного лекарственного препарата, а также лекарственного препарата, страной происхождения которого является государство - член Евразийского экономического союза, но не содержащие документа, подтверждающего страну происхождения лекарственного препарата, признаются не соответствующими требованиям и подлежат отклонению.</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Далее, если после отклонения заявок, предлагающих иностранные лекарственные препараты, в соответствии с механизмом, установленным пунктом 1 Постановления № 1289, имеется хотя бы одна заявка, которая содержит предложение о поставке всех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а также в составе заявки имеются сведения о двух документах, поименованных в пункте 1(2) Постановления № 1289, в отношении таких лекарственных препаратов применяются условия допуска, утвержденные подпунктом 1.4 пункта 1 Приказа № 126н.</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Указанная позиция Комиссии согласуется с позицией, изложенной в Письме Минэкономразвития России № 6723-ЕЕ/Д28и, Минпромторга России № ЦС-14384/19, Минздрава России № 25-0/10/2-1416, ФАС России № АЦ/15615/16 от 14.03.2016 «О позиции Минэкономразвития России, Минпромторга России, Минздрава России и ФАС России по вопросу применения положений постановления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Письме ФАС России от 09.04.2019 № МЕ/28972/19 «О рассмотрении обращения», Письме ФАС России от 09.03.2016 № АЦ/14053/16 «О рассмотрении обращения».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установила, что рассмотрение заявок произведено аукционной комиссией в соответствии с положениям Постановления № 1289.</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в действиях аукционной комиссии, выраженных в Протоколе подведения итогов определения поставщика (подрядчика, исполнителя) от 03.10.2024 №ИЭА1, отсутствуют нарушения требований Закона о контрактной системе, поскольку такие действия согласуются с вышеизложенными требованиями законодательства и корреспондируют вышеизложенным выводам Комиссии, основанным на фактическом изучении содержания поступивших на участие в электронной процедуре заявок на предмет их соответствия требованиям извещения о проведении аукциона с учетом предложенных участниками закупки ценовых предложений. Вместе с тем доводы подателя жалобы не нашли своего подтверждения и являются необоснованными.</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 решила признать жалобу ООО «МИРТУС» необоснованной.</w:t>
      </w:r>
    </w:p>
    <w:p>
      <w:pPr>
        <w:pStyle w:val="Style10"/>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0"/>
        <w:keepNext w:val="0"/>
        <w:keepLines w:val="0"/>
        <w:widowControl w:val="0"/>
        <w:shd w:val="clear" w:color="auto" w:fill="auto"/>
        <w:tabs>
          <w:tab w:pos="8640"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10"/>
        <w:keepNext w:val="0"/>
        <w:keepLines w:val="0"/>
        <w:widowControl w:val="0"/>
        <w:shd w:val="clear" w:color="auto" w:fill="auto"/>
        <w:bidi w:val="0"/>
        <w:spacing w:before="0" w:after="52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6342380</wp:posOffset>
                </wp:positionH>
                <wp:positionV relativeFrom="paragraph">
                  <wp:posOffset>12700</wp:posOffset>
                </wp:positionV>
                <wp:extent cx="859790" cy="216535"/>
                <wp:wrapSquare wrapText="left"/>
                <wp:docPr id="9" name="Shape 9"/>
                <a:graphic xmlns:a="http://schemas.openxmlformats.org/drawingml/2006/main">
                  <a:graphicData uri="http://schemas.microsoft.com/office/word/2010/wordprocessingShape">
                    <wps:wsp>
                      <wps:cNvSpPr txBox="1"/>
                      <wps:spPr>
                        <a:xfrm>
                          <a:ext cx="85979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 Грицай</w:t>
                            </w:r>
                          </w:p>
                        </w:txbxContent>
                      </wps:txbx>
                      <wps:bodyPr wrap="none" lIns="0" tIns="0" rIns="0" bIns="0">
                        <a:noAutoFit/>
                      </wps:bodyPr>
                    </wps:wsp>
                  </a:graphicData>
                </a:graphic>
              </wp:anchor>
            </w:drawing>
          </mc:Choice>
          <mc:Fallback>
            <w:pict>
              <v:shape id="_x0000_s1035" type="#_x0000_t202" style="position:absolute;margin-left:499.40000000000003pt;margin-top:1.pt;width:67.700000000000003pt;height:17.050000000000001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 Грицай</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520" w:line="240" w:lineRule="auto"/>
        <w:ind w:left="0" w:right="0" w:firstLine="0"/>
        <w:jc w:val="right"/>
      </w:pPr>
      <w:r>
        <w:rPr>
          <w:color w:val="000000"/>
          <w:spacing w:val="0"/>
          <w:w w:val="100"/>
          <w:position w:val="0"/>
          <w:sz w:val="24"/>
          <w:szCs w:val="24"/>
          <w:shd w:val="clear" w:color="auto" w:fill="auto"/>
          <w:lang w:val="ru-RU" w:eastAsia="ru-RU" w:bidi="ru-RU"/>
        </w:rPr>
        <w:t>Е.А. Шмыгина</w:t>
      </w:r>
    </w:p>
    <w:sectPr>
      <w:footerReference w:type="default" r:id="rId9"/>
      <w:footerReference w:type="first" r:id="rId10"/>
      <w:footnotePr>
        <w:pos w:val="pageBottom"/>
        <w:numFmt w:val="decimal"/>
        <w:numRestart w:val="continuous"/>
      </w:footnotePr>
      <w:pgSz w:w="11900" w:h="16840"/>
      <w:pgMar w:top="1043" w:right="529" w:bottom="1178" w:left="1099"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10012045</wp:posOffset>
              </wp:positionV>
              <wp:extent cx="6470650" cy="103505"/>
              <wp:wrapNone/>
              <wp:docPr id="11" name="Shape 1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1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2024-17334</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7" type="#_x0000_t202" style="position:absolute;margin-left:57.100000000000001pt;margin-top:788.35000000000002pt;width:509.5pt;height:8.1500000000000004pt;z-index:-188744063;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2024-17334</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729615</wp:posOffset>
              </wp:positionH>
              <wp:positionV relativeFrom="page">
                <wp:posOffset>10008870</wp:posOffset>
              </wp:positionV>
              <wp:extent cx="725170" cy="100330"/>
              <wp:wrapNone/>
              <wp:docPr id="13" name="Shape 1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2024-17334</w:t>
                          </w:r>
                        </w:p>
                      </w:txbxContent>
                    </wps:txbx>
                    <wps:bodyPr wrap="none" lIns="0" tIns="0" rIns="0" bIns="0">
                      <a:spAutoFit/>
                    </wps:bodyPr>
                  </wps:wsp>
                </a:graphicData>
              </a:graphic>
            </wp:anchor>
          </w:drawing>
        </mc:Choice>
        <mc:Fallback>
          <w:pict>
            <v:shape id="_x0000_s1039" type="#_x0000_t202" style="position:absolute;margin-left:57.450000000000003pt;margin-top:788.10000000000002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2024-17334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2"/>
      <w:szCs w:val="32"/>
      <w:u w:val="none"/>
    </w:rPr>
  </w:style>
  <w:style w:type="character" w:customStyle="1" w:styleId="CharStyle18">
    <w:name w:val="Подпись к таблице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0">
    <w:name w:val="Другое_"/>
    <w:basedOn w:val="DefaultParagraphFont"/>
    <w:link w:val="Style19"/>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8">
    <w:name w:val="Подпись к картинке"/>
    <w:basedOn w:val="Normal"/>
    <w:link w:val="CharStyle9"/>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17">
    <w:name w:val="Подпись к таблице"/>
    <w:basedOn w:val="Normal"/>
    <w:link w:val="CharStyle18"/>
    <w:pPr>
      <w:widowControl w:val="0"/>
      <w:shd w:val="clear" w:color="auto" w:fill="auto"/>
      <w:ind w:firstLine="580"/>
    </w:pPr>
    <w:rPr>
      <w:rFonts w:ascii="Times New Roman" w:eastAsia="Times New Roman" w:hAnsi="Times New Roman" w:cs="Times New Roman"/>
      <w:b w:val="0"/>
      <w:bCs w:val="0"/>
      <w:i w:val="0"/>
      <w:iCs w:val="0"/>
      <w:smallCaps w:val="0"/>
      <w:strike w:val="0"/>
      <w:u w:val="none"/>
    </w:rPr>
  </w:style>
  <w:style w:type="paragraph" w:customStyle="1" w:styleId="Style19">
    <w:name w:val="Другое"/>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