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  <w:br/>
        <w:t>г. Назрань, 386102</w:t>
        <w:br/>
        <w:t>телефакс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765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ОБРАЗОВАНИЯ "ГОРОДСКОЙ ОКРУГ ГОРОД МАГАС" ооок§2024@тай,ш;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дозхакагтадаз 1 @тай.ги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ко@гозекогд,ш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"Брокер Групп"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767" w:bottom="1232" w:left="1145" w:header="0" w:footer="3" w:gutter="0"/>
          <w:pgNumType w:start="1"/>
          <w:cols w:num="2" w:space="720" w:equalWidth="0">
            <w:col w:w="4085" w:space="1176"/>
            <w:col w:w="472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ооо.1еп^ег.Ьгокег7 7 @дтай. 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1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6173470</wp:posOffset>
                </wp:positionH>
                <wp:positionV relativeFrom="paragraph">
                  <wp:posOffset>381000</wp:posOffset>
                </wp:positionV>
                <wp:extent cx="762000" cy="24384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Назрань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6.10000000000002pt;margin-top:30.pt;width:60.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Назрань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006/06/105-522/2024 о нарушении</w:t>
        <w:br/>
        <w:t>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10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14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закупок (далее -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 - ведущий специалист-эксперт отдела контроля торгов Управления.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Администрации МО «Городской округ город Магас» (далее - заказчик);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жалобы - ООО «Брокер Групп» (далее - Заявитель);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Все стороны уведомлены надлежащим образом, заявлений и ходатайств не поступало.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действия (бездействия) Заказчика и Уполномоченного органа) при проведении процедуры закупки № 0314300000224000037 на выполнение работ по благоустройству сквера в 6 микрорайоне г. Магас (далее - Закупка), выразившиеся в нарушении норм Федерального закона №44-ФЗ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проведя внеплановую проверку в соответствии со статьями 99 и 106 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единой информационной системе в сети Интернет по размещению информации о размещении заказов \у\у\у./акирк1.до\'.ги (далее - ЕИС) размещено извещение о проведении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- 28.08.2024;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открытый конкурс в электронной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- 8 207 860,00 рублей;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подачи заявок - 07.10.2024 09:00;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- 09.10.2024.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Управления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1 статьи 105 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Закона о контрактной системе, участник закупки в соответствии с законодательством Российской Федерации имеет право обжаловать в судебном порядке или в порядке, установленном главой 6 Закона о контрактной системе,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условием для подачи жалобы согласно Закону о контрактной системе является наличие у участника закупки прав и законных интересов, которые при осуществлении закупки нарушены действиями (бездействием) субъекта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Права и законные интересы участника закупки, не обладающего соответствующей специальной правоспособностью, не могут быть нарушены действиями (бездействием) субъекта контроля при осуществлении закупки, для участия в которой в соответствии с законодательством Российской Федерации необходимо наличие специальной правоспособности.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объектом Закупки является выполнение работ по благоустройству сквера.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извещению Закупки к участникам торгов установлены обязательные требования о наличии опыта в соответствии с позицией 9 раздела II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Правительства Российской Федерации» (далее - Постановление № 2571).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жалобе Заказчиком при размещении Закупки не указаны надлежащим образом характеристики поставляемого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Управлением установлено, что Заявитель не обладает соответствующей специальной правоспособностью для выполнения работ по объекту закупки, в частности у него отсутствует опыт выполнения аналогичных работ.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частности, Заявителем не обеспечена явка своего представителя на рассмотрении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на запрос Управления о предоставлении документов и/или сведений, подтверждающих наличие у Заявителя опыта по Постановлению №2571 не представлены документы и сведения, подтверждающие наличие у него требуемого извещением Закупки опыта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Наряду с изложенным Комиссией Управления отмечено, что Заявителем не представлены в составе жалобы документы и сведения, подтверждающие нарушение его прав и законных интересов при осуществлении настоящей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вышеизложенного следует, что права и законные интересы Заявителя не могут быть ущемлены при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указанного Управлением принято решение об отказе в принятии жалобы к рассмотрению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проведения внеплановой проверки Комиссией Управления нарушений требований Закона о контрактной системе не выявлено.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Управления при проведении внеплановой проверки, Комиссия, руководствуясь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статьями 99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106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Отказать в принятии жалобы к рассмотрению по существу.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проведения внеплановой проверки нарушений требований Закона о контрактной системе не выявлено..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статьи 106 Закона о контрактной системе направить настоящее решение сторонам.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728" w:val="left"/>
        </w:tabs>
        <w:bidi w:val="0"/>
        <w:spacing w:before="0" w:after="5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728" w:val="left"/>
        </w:tabs>
        <w:bidi w:val="0"/>
        <w:spacing w:before="0" w:after="5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Аушев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7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81" w:right="533" w:bottom="944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9862185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49999999999999pt;margin-top:776.55000000000007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610235</wp:posOffset>
              </wp:positionV>
              <wp:extent cx="76200" cy="1155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90000000000003pt;margin-top:48.050000000000004pt;width:6.pt;height:9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4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4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spacing w:after="280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