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38100" distL="114300" distR="114300" simplePos="0" relativeHeight="125829378" behindDoc="0" locked="0" layoutInCell="1" allowOverlap="1">
            <wp:simplePos x="0" y="0"/>
            <wp:positionH relativeFrom="page">
              <wp:posOffset>1820545</wp:posOffset>
            </wp:positionH>
            <wp:positionV relativeFrom="paragraph">
              <wp:posOffset>12700</wp:posOffset>
            </wp:positionV>
            <wp:extent cx="524510" cy="61595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25400" distB="240030" distL="248920" distR="224155" simplePos="0" relativeHeight="125829379" behindDoc="0" locked="0" layoutInCell="1" allowOverlap="1">
                <wp:simplePos x="0" y="0"/>
                <wp:positionH relativeFrom="page">
                  <wp:posOffset>951865</wp:posOffset>
                </wp:positionH>
                <wp:positionV relativeFrom="paragraph">
                  <wp:posOffset>1097280</wp:posOffset>
                </wp:positionV>
                <wp:extent cx="2244725" cy="115887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4725" cy="1158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ап ।«монопольной службы</w:t>
                              <w:br/>
                              <w:t>по Республике Карелия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 р; .уса.. 1 а, г. Петр- -Дк.«,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К».!.уб;н й Карслия, 185031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П. ионг’й гтр.'с: а'я 243, г. Пстр^.а «■».•&gt;.’ «,185035</w:t>
                              <w:br/>
                              <w:t>тсл/ф.;«х (8142) 78-44-30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с-п.,п1: ю!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ru-RU" w:eastAsia="ru-RU" w:bidi="ru-RU"/>
                              </w:rPr>
                              <w:t>Г;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^,Г.!' .,ги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4.950000000000003pt;margin-top:86.400000000000006pt;width:176.75pt;height:91.25pt;z-index:-125829374;mso-wrap-distance-left:19.600000000000001pt;mso-wrap-distance-top:2.pt;mso-wrap-distance-right:17.650000000000002pt;mso-wrap-distance-bottom:18.90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ап ।«монопольной службы</w:t>
                        <w:br/>
                        <w:t>по Республике Карелия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 р; .уса.. 1 а, г. Петр- -Дк.«,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К».!.уб;н й Карслия, 185031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П. ионг’й гтр.'с: а'я 243, г. Пстр^.а «■».•&gt;.’ «,185035</w:t>
                        <w:br/>
                        <w:t>тсл/ф.;«х (8142) 78-44-30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с-п.,п1: ю!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ru-RU" w:eastAsia="ru-RU" w:bidi="ru-RU"/>
                        </w:rPr>
                        <w:t>Г;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^,Г.!' .,ги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93800" distB="0" distL="114300" distR="114300" simplePos="0" relativeHeight="125829381" behindDoc="0" locked="0" layoutInCell="1" allowOverlap="1">
            <wp:simplePos x="0" y="0"/>
            <wp:positionH relativeFrom="page">
              <wp:posOffset>817245</wp:posOffset>
            </wp:positionH>
            <wp:positionV relativeFrom="paragraph">
              <wp:posOffset>2265680</wp:posOffset>
            </wp:positionV>
            <wp:extent cx="2487295" cy="23177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487295" cy="2317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 Ь ПАЯ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 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Дело № 010/06/106-579/2024 04-18/114-2024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 РК «Управтодор РК»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ог§х@иргау1ос1ог-гк.ги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«АРКОНА»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16" w:right="2438" w:bottom="1158" w:left="1823" w:header="0" w:footer="3" w:gutter="0"/>
          <w:pgNumType w:start="1"/>
          <w:cols w:num="2" w:space="1634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агсопа.ргоек1@§таП.сот</w:t>
      </w: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6" w:right="0" w:bottom="116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framePr w:w="497" w:h="295" w:wrap="none" w:vAnchor="text" w:hAnchor="page" w:x="119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На№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3143885</wp:posOffset>
            </wp:positionH>
            <wp:positionV relativeFrom="paragraph">
              <wp:posOffset>459740</wp:posOffset>
            </wp:positionV>
            <wp:extent cx="219710" cy="21336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70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6" w:right="465" w:bottom="1168" w:left="113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4" w:after="11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2" w:right="0" w:bottom="116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010/06/106-579/2024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8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Петрозаводск Резолютивная часть решения объявлена «15» октября 2024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 «18» октября 2024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Карельского УФАС России (далее - Комиссия) по контролю в сфере закупок для государственных и муниципальных нужд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Грущакова Г.А. - заместитель председателя Комиссии, заместитель руководителя - начальник отдела контроля органов власти и закупок Карельского УФАС России;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Суханов М.С. - член Комиссии, заместитель начальника отдела контроля органов власти и закупок Карельского УФАС России;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59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Ковалева О.В. - член Комиссии, ведущий специалист-эксперт отдела контроля органов власти и закупок Карельского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в режиме видео-конференц-связи до и после перерыва представителей Заявителя - Алексеева И.В., Сенюшкиной М.С.(копии доверенностей в материалах дела), Заказчика - Борисовой Л.Е. (копия доверенности в материалах дела),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«АРКОНА» (вх. от 09.10.2024 № 6199/24) на действия комиссии Заказчика - КУ РК «Управтодор РК» при проведении открытого конкурса в электронной форме на выполнение работ по разработке проектов организации дорожного движения на обустройство автомобильных дорог общего пользования регионального или межмуниципального значения Республики Карелия (извещение № 0306200005124000069) (далее - конкурс) и в результате осуществления внеплановой проверки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59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Карельское УФАС России 09.10.2024 (вх. № 2404/23) поступила жалоба Заявителя на действия комиссии Заказчика при проведении открытого конкурса в электронной форме на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выполнение работ по разработке проектов организации дорожного движения на обустройство автомобильных дорог общего пользования регионального или межмуниципального значения Республики Карелия.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его заявка под идентификационным номером 91095472 была неправомерно отклонена комиссией Заказчика.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извещении о проведении конкурса Заказчиком установлены дополнительные требования в соответствии с постановлением Правительства РФ от 29.12.2021 № 2571 «О требованиях к участникам закупки товаров, работ, услуг для обеспечения государственных, и муниципальных нужд» (далее - Постановление № 2571). Согласно пункту 4 приложения к извещению об аукционе «Требования к содержанию, составу заявки на участие в закупке» Заказчиком установлено дополнительное требование к наличию у участника закупки определенного опыта выполнения работ, соответствие дополнительным требованиям подтверждается установленными позицией 18 раздела 3 Приложения к Постановлению №2571 документами.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утверждает, что его заявка соответствовала требованиям Заказчика, в составе заявки представлены необходимые документы, в том числе договор от 28.07.2021 № 3719132, который, как считает Заявитель, должен был быть принят в качестве документа, подтверждающего соответствие дополнительному требованию. Таким образом, Заявитель отмечает, что действиями комиссии Заказчика нарушены требования статьи 8 Закона о контрактной системе, а также его права и законные интересы как участника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«АРКОНА» просит признать жалобу обоснованной, провести внеплановую проверку, отменить протокол подведения итогов определения поставщика (подрядчика, исполнителя) от 07.10.2024 №ИЭОК1, выдать Заказчику предписание об устранении нарушений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 представленных в адрес Карельского УФАС России письменных пояснениях от 14.10.2024№ 89/24-ОРГЗ просил признать жалобу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рассматриваемой закупки Комиссией Карельского УФАС России установлены следующие сведения: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24" w:val="left"/>
        </w:tabs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открытого конкурса в электронной форме размещено на официальном сайте Единой информационной системы в сфере закупок (ЬПр://гакирк1.§оу.ги) 17.09.2024;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6" w:val="left"/>
        </w:tabs>
        <w:bidi w:val="0"/>
        <w:spacing w:before="0" w:after="0" w:line="266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адрес электронной площадки -ЬИр://го8е11ог§.ги;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6" w:val="left"/>
        </w:tabs>
        <w:bidi w:val="0"/>
        <w:spacing w:before="0" w:after="0" w:line="266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номер извещения — 0306200005124000069;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24" w:val="left"/>
        </w:tabs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объекта закупки - выполнение работ по разработке проектов организации дорожного движения на обустройство автомобильных дорог общего пользования регионального или межмуниципального значения Республики Карелия;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6" w:val="left"/>
        </w:tabs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способ закупки - открытый конкурс в электронной форме;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6" w:val="left"/>
        </w:tabs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- КУ РК «Управтодор РК»;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6" w:val="left"/>
        </w:tabs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- 6 499 996,70 рублей;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24" w:val="left"/>
        </w:tabs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07.10.2024 №ИЭОК1 на участие в конкурсе было подано 2 (две) заявки, заявка с идентификационным номером 91095472 отклонена.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назначено на 11 часов 30 минут 14.10.2024, состоялось в указанное время.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целях получения дополнительных пояснений и документов, Комиссией Карельского УФАС России объявлялся перерыв в принятии решения по жалобе до 14 часов 30 минут 15.10.2024.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 перерыва рассмотрение жалобы продолжилось Комиссией Карельского УФАС России в том же составе в режиме видео-конференц-связи с участием представителей Заявителя и Заказчика.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66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государственный контракт не заключен.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представленные материалы, заслушав представителей Заявителя, Заказчика, Комиссия Карельского УФАС России признает жалобу обоснованной ввиду следующего.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части 1 статьи 31 Закона о контрактной системе при применении конкурентных способов заказчик устанавливает единые требования к участникам закупки, в том числе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12 части 1 статьи 42 Закона о контрактной системе при осуществлении закупки путем проведения открытых конкурентных способов извещение об осуществлении закупки должно содержать, в том числе,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 (часть 4 статьи 31 Закона о контрактной системе).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2 статьи 31 Закона о контрактной системе предусмотрено, что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дополнительные требования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в том числе к наличию: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9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9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6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9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№ 2571 установлено, что к участникам закупки отдельных видов товаров, работ, услуг, участникам отдельных видов закупок товаров, работ, услуг предъявляются дополнительные требования согласно приложению.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Соответствие участников закупки указанным дополнительным требованиям подтверждается информацией и документами, предусмотренными приложением к названному постановлению.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реализацию указанной нормы позицией 18 раздела 3 Приложения к Постановлению № 2571 установлены следующие дополнительные требования:</w:t>
      </w:r>
    </w:p>
    <w:tbl>
      <w:tblPr>
        <w:tblOverlap w:val="never"/>
        <w:jc w:val="center"/>
        <w:tblLayout w:type="fixed"/>
      </w:tblPr>
      <w:tblGrid>
        <w:gridCol w:w="3128"/>
        <w:gridCol w:w="3870"/>
        <w:gridCol w:w="3308"/>
      </w:tblGrid>
      <w:tr>
        <w:trPr>
          <w:trHeight w:val="23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465" w:val="left"/>
              </w:tabs>
              <w:bidi w:val="0"/>
              <w:spacing w:before="0" w:after="0" w:line="254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Наименование отдельных видов товаров, работ, услуг, являющихся объектом Номер</w:t>
              <w:tab/>
              <w:t>закупки,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217" w:val="left"/>
              </w:tabs>
              <w:bidi w:val="0"/>
              <w:spacing w:before="0" w:after="0" w:line="254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позиции</w:t>
              <w:tab/>
              <w:t>наименование,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товаров, работ, услуг, являющихся объектом отдельных видов закупок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Дополнительные требования к участникам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Информация и документы, подтверждающие соответствие участников закупки дополнительным требованиям</w:t>
            </w:r>
          </w:p>
        </w:tc>
      </w:tr>
      <w:tr>
        <w:trPr>
          <w:trHeight w:val="213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112" w:val="left"/>
              </w:tabs>
              <w:bidi w:val="0"/>
              <w:spacing w:before="0" w:after="0" w:line="240" w:lineRule="auto"/>
              <w:ind w:left="0" w:right="24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Работы по ремонту, 18</w:t>
              <w:tab/>
              <w:t>содержанию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авюмобильной дороги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наличие у участника закупки одного из следующих видов опыта выполнения работ: 1) опыт исполнения договора, предусматривающего выполнение работ по ремонту, содержанию автомобильной дороги;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2) опыт исполнения договора, предусматривающего выполнение работ по капитальному ремонту автомобильной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в случае наличия опыта, предусмотренного пунктами 1 или 2 графы "Дополнительные требования к участникам закупки" настоящей позиции: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1) исполненный договор;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2) акт выполненных работ, подтверждающий цену выполненных работ.</w:t>
            </w:r>
          </w:p>
        </w:tc>
      </w:tr>
    </w:tbl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2" w:right="497" w:bottom="1160" w:left="1077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3132"/>
        <w:gridCol w:w="3852"/>
        <w:gridCol w:w="3298"/>
      </w:tblGrid>
      <w:tr>
        <w:trPr>
          <w:trHeight w:val="1079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дороги;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3) опыт исполнения договора строительного подряда, предусматривающего выполнение работ по строительству, реконструкции автомобильной дороги;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4) опыт выполнения участником закупки, являющимся застройщиком, работ по строительству, реконструкции автомобильной дороги.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Цена выполненных работ по договорам, предусмотренным пунктами 1,2 или 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В случае наличия опыта, предусмотренною пунктом 3 графы "Дополнительные требования к участникам закупки" настоящей позиции:</w:t>
            </w:r>
          </w:p>
          <w:p>
            <w:pPr>
              <w:pStyle w:val="Style22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91" w:val="left"/>
              </w:tabs>
              <w:bidi w:val="0"/>
              <w:spacing w:before="0" w:after="0" w:line="257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исполненный дотовор;</w:t>
            </w:r>
          </w:p>
          <w:p>
            <w:pPr>
              <w:pStyle w:val="Style22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91" w:val="left"/>
              </w:tabs>
              <w:bidi w:val="0"/>
              <w:spacing w:before="0" w:after="0" w:line="257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      </w:r>
          </w:p>
          <w:p>
            <w:pPr>
              <w:pStyle w:val="Style22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432" w:val="left"/>
              </w:tabs>
              <w:bidi w:val="0"/>
              <w:spacing w:before="0" w:after="0" w:line="257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разрешение на ввод объекта капитального строительства в эксплуатацию 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абзацем пятым настоящей графы, предусматривает выполнение работ, не требующих в соответствии с указанным законодательством выдачи такого разрешения) или решение о технической готовности линейного объекта инфраструктуры к временной эксплуатации.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В случае наличия опыта, предусмотренного пунктом 4 графы "Дополнительные требования к участникам закупки" настоящей позиции: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1) раздел "Смета на строительство, реконструкцию, капитальный ремонт, снос объекта капитального строительства" проектной документации;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2) разрешение на ввод объекта капитального строительства в эксплуатацию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подпункту «н» пункта 1 части 1 статьи 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информацию и документы, подтверждающие соответствие участника закупки требованиям, установленным пунктом 1 части 1 статьи 31 настоящего Федерального закона, 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настоящего Федерального закона, если иное не предусмотрено настоящим Федеральным законом.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2 статьи 8 Закона о контрактной системе установлен запрет на совершение комиссиями по осуществлению закупок, членами таких комиссий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пунктом 3 части 12 статьи 48 Закона о контрактной системе при рассмотрении вторых частей заявок на участие в закупке соответствующая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заявка подлежит отклонению, в том числе в случае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Карельского УФАС России установила, что согласно протоколу подведения итогов определения поставщика (подрядчика, исполнителя) от 07.10.2024 №ИЭОК1 заявка ООО «АРКОНА» была отклонена комиссией Заказчика на основании пункта 3 части 12 статьи 48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обоснование своего решения комиссия Заказчика указала в протоколе, что представленный участником договор от 28.07.2021 № 3719132 свидетельствует о выполнении ООО «АРКОНА» работ в качестве субподрядчика, договор заключался и исполнялся не в рамках Закона о контрактной системе и Федерального закона от 18.07.2011 № 223-ФЗ «О закупках товаров, работ, услуг отдельными видами юридических лиц» (далее - Закон о закупках), в связи с чем опыт участника не соответствует опыту, предъявляемому позицией 18 раздела 3 Приложения к Постановлению № 2571.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обстоятельствах, Комиссия Карельского УФАС России обращает внимание Заказчика на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Абзацем 6 подпункта «б» пункта 3 Постановления № 2571 установлены позиции Постановления № 2571, в соответствии с которыми подтверждением опыта у участника закупки является контракт, заключенный и исполненный в соответствии с Законом о контрактной системе, либо договор, заключенный и исполненный в соответствии с Законом о закупках.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действующее законодательство о контрактной системе, в том числе Постановление № 2571 не предусматривает необходимость представления документов, подтверждающих опыт выполнения соответствующих работ исключительно в качестве генерального подрядчика, и, соответственно, для определения наличия у участника аукциона или конкурса опыта по выполнению соответствующих работ не имеет значения в каком качестве он являлся их исполнителем, в качестве генподрядчика или субподрядчика.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Указанная правовая позиция отражена в постановлениях Тринадцатого арбитражного апелляционного суда от 13.04.2023 по делу № А56-93409/2022, Постановлении Арбитражного суда Северо-Западного округа от 23.11.2023 по делу № А26-4388/2023, Четырнадцатого арбитражного апелляционного суда от 26.01.2023 по делу № А52-4409/2022, Третьего арбитражного апелляционного суда от 26.01.2023 по делу № АЗЗ-15832/2022.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ранее на данные обстоятельства в определениях от 21.07.2021 № 307-ЭС21-11283, от 21.07.2021 № 310-ЭС21-11067 ссылался Верховный Суд РФ.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«АРКОНА» представило в качестве подтверждения своего опыта по позиции 18 раздела 3 Приложения к Постановлению № 2571 опыт исполнения договора от 28.07.2021 № 3719132, заключенного в порядке, установленном Законом о закупках. Сведения о его заключении размещены в реестре договоров ЕИС под номером 57707049388210045910000.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рассматриваемый договор содержит указание, что работы выполняются в рамках заключенного между ПАО «Ростелеком» и Министерством транспорта и дорожного хозяйства Тульской области государственного контракта № 03662000356210027400001 от 16.06.2021 на оказание услуг по реализации второго этапа создания интеллектуальной транспортной системы Тульской городской агломерации. Сведения об указанном государственном контракте также находятся в реестре контрактов ЕИС.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рамках оказания услуг по реализации второго этапа создания интеллектуальной транспортной системы Тульской городской агломерации ООО «Аркона» выполнялись работы по установке и настройке автоматизированных систем управления дорожным движением транспортных и пешеходных светофоров §тагЧл§1П.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отсутствие в реестре контрактов сведений, что ООО «АРКОНА» является субподрядчиком по государственному контракту № 03662000356210027400001 от 16.06.2021 не свидетельствуют об отсутствии у участника закупки требуемого опыта выполнения работ (оказания услуг), поскольку обязанность по размещению информации и документов об исполнении контракта, договора, предоставляемого участником закупки в качестве подтверждения соответствия дополнительным требованиям, предусмотренным Постановлением № 2571, в реестре контрактов, реестре договоров в соответствии со статьей 103 Закона о контрактной системе и статьей 4.1 Закона о закупках возлагается на заказчика, с которым заключен такой контракт, договор. При этом у поставщика (подрядчика, исполнителя) отсутствуют полномочия по размещению документов и информации в реестре контрактов (реестре договоров) и по внесению изменений в отношении статуса исполнения контракта (договора) в ЕИС, а также полномочия по размещению документов и информации в реестре контрактов (реестре договоров).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Аналогичная позиция изложена в письме ФАС России от 11.01.2024 № МШ/875/24.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доводы Заказчика, озвученные на рассмотрении жалобы, о том, что работы, выполненные ООО «АРКОНА» в рамках реализации этапа создания интеллектуальной транспортной системы Тульской городской агломерации (закупка № 0366200035621002740), не относятся к работам по содержанию, капитальному ремонту и обслуживанию автомобильных дорог, не могут быть приняты Комиссией Карельского УФАС России ввиду следующего.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Протокол подведения итогов определения поставщика (подрядчика, исполнителя) от 07.10.2024 №ИЭОК1 не содержит данного обоснования для отклонения заявки участника.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согласно пункту 10 раздела IV «Классификация работ по содержанию автомобильных дорог» Приказа Минтранса России от 16.11.2012 № 402 в состав мероприятий по содержанию входят работы по установке следующих элементов обустройства: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установка элементов интеллектуальных транспортных систем и элементов автоматизированных систем управления дорожным движением, в том числе элементов систем передачи данных;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замена оборудования и установка недостающих элементов для функционирования автоматизированных систем управления дорожным движением, интеллектуальных транспортных систем.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изложенного, Комиссия Карельского УФАС России приходит к выводу, что комиссией Заказчика неправомерно отклонена заявка ООО «АРКОНА», поскольку участником в составе заявки представлены все документы, необходимые для подтверждения своего соответствия дополнительным требованиям, установленным в извещении о проведении закупки, что в свою очередь нарушает требования, установленные частью 2 статьи 8, пунктом 3 части 12 статьи 48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целях устранения допущенных нарушений требований Закона о контрактной системе и восстановления законных прав и интересов Заявителя, Комиссия Карельского УФАС России полагает необходимым выдать комиссии Заказчика предписание об устранении нарушений Закона о контрактной системе путем отмены протокола подведения итогов определения поставщика (подрядчика, исполнителя) от 07.10.2024 №ИЭОК1 и рассмотрении заявок участников конкурса с учетом настоящего решения и требований действующего законодательства.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и руководствуясь статьями 99, 106 Закона о контрактной системе, Комиссия Карельского УФАС России по контролю в сфере закупок для государственных и муниципальных нужд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2"/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7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«АРКОНА» на действия комиссии Заказчика - КУ РК «Управтодор РК» при проведении открытого конкурса в электронной форме на выполнение работ по разработке проектов организации дорожного движения на обустройство автомобильных дорог общего пользования регионального или межмуниципального значения Республики Карелия (извещение № 0306200005124000069) обоснованной.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7" w:val="left"/>
        </w:tabs>
        <w:bidi w:val="0"/>
        <w:spacing w:before="0" w:after="0" w:line="266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комиссии Заказчика установлены нарушения части 2 статьи 8, пункта 3 части 12 статьи 48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557" w:val="left"/>
        </w:tabs>
        <w:bidi w:val="0"/>
        <w:spacing w:before="0" w:after="0" w:line="266" w:lineRule="auto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комиссии Заказчика предписание об устранении нарушений.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7" w:val="left"/>
        </w:tabs>
        <w:bidi w:val="0"/>
        <w:spacing w:before="0" w:after="120" w:line="266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рассмотрения жалобы должностному лицу Карельского УФАС России для возбуждения дела об административном правонарушении.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i/>
          <w:i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Настоящее решение мо ет быть об баловано в Арбитражном суде Республики Карелия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  <w:rPr>
          <w:sz w:val="17"/>
          <w:szCs w:val="17"/>
        </w:rPr>
      </w:pPr>
      <w:r>
        <w:rPr>
          <w:i/>
          <w:i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в течение 3-х месяцев с момента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4844415</wp:posOffset>
                </wp:positionH>
                <wp:positionV relativeFrom="paragraph">
                  <wp:posOffset>12700</wp:posOffset>
                </wp:positionV>
                <wp:extent cx="1904365" cy="57594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4365" cy="575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Грущакова Г.А.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1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 А</w:t>
                              <w:tab/>
                            </w:r>
                            <w:r>
                              <w:rPr>
                                <w:color w:val="8A81B4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‘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0" w:lineRule="auto"/>
                              <w:ind w:left="0" w:right="0" w:firstLine="160"/>
                              <w:jc w:val="left"/>
                            </w:pPr>
                            <w:r>
                              <w:rPr>
                                <w:i/>
                                <w:iCs/>
                                <w:color w:val="8A81B4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I</w:t>
                            </w:r>
                            <w:r>
                              <w:rPr>
                                <w:color w:val="8A81B4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А^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Суханов М.С.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81.44999999999999pt;margin-top:1.pt;width:149.95000000000002pt;height:45.3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Грущакова Г.А.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1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 А</w:t>
                        <w:tab/>
                      </w:r>
                      <w:r>
                        <w:rPr>
                          <w:color w:val="8A81B4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‘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80" w:lineRule="auto"/>
                        <w:ind w:left="0" w:right="0" w:firstLine="160"/>
                        <w:jc w:val="left"/>
                      </w:pPr>
                      <w:r>
                        <w:rPr>
                          <w:i/>
                          <w:iCs/>
                          <w:color w:val="8A81B4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I</w:t>
                      </w:r>
                      <w:r>
                        <w:rPr>
                          <w:color w:val="8A81B4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А^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Суханов М.С.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sectPr>
      <w:footerReference w:type="default" r:id="rId13"/>
      <w:footnotePr>
        <w:pos w:val="pageBottom"/>
        <w:numFmt w:val="decimal"/>
        <w:numRestart w:val="continuous"/>
      </w:footnotePr>
      <w:pgSz w:w="11900" w:h="16840"/>
      <w:pgMar w:top="312" w:right="497" w:bottom="1160" w:left="107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10019665</wp:posOffset>
              </wp:positionV>
              <wp:extent cx="642620" cy="10541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262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2024-3653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50000000000001pt;margin-top:788.95000000000005pt;width:50.600000000000001pt;height:8.3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2024-3653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750570</wp:posOffset>
              </wp:positionH>
              <wp:positionV relativeFrom="page">
                <wp:posOffset>10041890</wp:posOffset>
              </wp:positionV>
              <wp:extent cx="648970" cy="10731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73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2024-3653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9.100000000000001pt;margin-top:790.70000000000005pt;width:51.100000000000001pt;height:8.4499999999999993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2024-3653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750570</wp:posOffset>
              </wp:positionH>
              <wp:positionV relativeFrom="page">
                <wp:posOffset>10041890</wp:posOffset>
              </wp:positionV>
              <wp:extent cx="648970" cy="10731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73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2024-3653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9.100000000000001pt;margin-top:790.70000000000005pt;width:51.100000000000001pt;height:8.4499999999999993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2024-3653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9">
    <w:name w:val="Колонтитул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Основной текст (4)_"/>
    <w:basedOn w:val="DefaultParagraphFont"/>
    <w:link w:val="Style11"/>
    <w:rPr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CharStyle14">
    <w:name w:val="Основной текст (3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65982"/>
      <w:sz w:val="26"/>
      <w:szCs w:val="26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23">
    <w:name w:val="Другое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7">
    <w:name w:val="Заголовок №2_"/>
    <w:basedOn w:val="DefaultParagraphFont"/>
    <w:link w:val="Style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6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8">
    <w:name w:val="Колонтитул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65982"/>
      <w:sz w:val="26"/>
      <w:szCs w:val="26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paragraph" w:customStyle="1" w:styleId="Style22">
    <w:name w:val="Другое"/>
    <w:basedOn w:val="Normal"/>
    <w:link w:val="CharStyle23"/>
    <w:pPr>
      <w:widowControl w:val="0"/>
      <w:shd w:val="clear" w:color="auto" w:fill="auto"/>
      <w:spacing w:line="26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6">
    <w:name w:val="Заголовок №2"/>
    <w:basedOn w:val="Normal"/>
    <w:link w:val="CharStyle27"/>
    <w:pPr>
      <w:widowControl w:val="0"/>
      <w:shd w:val="clear" w:color="auto" w:fill="auto"/>
      <w:spacing w:after="140" w:line="223" w:lineRule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footer" Target="footer3.xml"/></Relationships>
</file>