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279400" distB="1524000" distL="114300" distR="1577340" simplePos="0" relativeHeight="125829379" behindDoc="0" locked="0" layoutInCell="1" allowOverlap="1">
                <wp:simplePos x="0" y="0"/>
                <wp:positionH relativeFrom="page">
                  <wp:posOffset>739140</wp:posOffset>
                </wp:positionH>
                <wp:positionV relativeFrom="paragraph">
                  <wp:posOffset>3130550</wp:posOffset>
                </wp:positionV>
                <wp:extent cx="240665" cy="216535"/>
                <wp:wrapTopAndBottom/>
                <wp:docPr id="3" name="Shape 3"/>
                <a:graphic xmlns:a="http://schemas.openxmlformats.org/drawingml/2006/main">
                  <a:graphicData uri="http://schemas.microsoft.com/office/word/2010/wordprocessingShape">
                    <wps:wsp>
                      <wps:cNvSpPr txBox="1"/>
                      <wps:spPr>
                        <a:xfrm>
                          <a:ext cx="240665"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От</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8.200000000000003pt;margin-top:246.5pt;width:18.949999999999999pt;height:17.050000000000001pt;z-index:-125829374;mso-wrap-distance-left:9.pt;mso-wrap-distance-top:22.pt;mso-wrap-distance-right:124.2pt;mso-wrap-distance-bottom:12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От</w:t>
                      </w:r>
                    </w:p>
                  </w:txbxContent>
                </v:textbox>
                <w10:wrap type="topAndBottom" anchorx="page"/>
              </v:shape>
            </w:pict>
          </mc:Fallback>
        </mc:AlternateContent>
      </w:r>
      <w:r>
        <mc:AlternateContent>
          <mc:Choice Requires="wps">
            <w:drawing>
              <wp:anchor distT="279400" distB="1524000" distL="361315" distR="114300" simplePos="0" relativeHeight="125829381" behindDoc="0" locked="0" layoutInCell="1" allowOverlap="1">
                <wp:simplePos x="0" y="0"/>
                <wp:positionH relativeFrom="page">
                  <wp:posOffset>986155</wp:posOffset>
                </wp:positionH>
                <wp:positionV relativeFrom="paragraph">
                  <wp:posOffset>3130550</wp:posOffset>
                </wp:positionV>
                <wp:extent cx="1456690" cy="216535"/>
                <wp:wrapTopAndBottom/>
                <wp:docPr id="5" name="Shape 5"/>
                <a:graphic xmlns:a="http://schemas.openxmlformats.org/drawingml/2006/main">
                  <a:graphicData uri="http://schemas.microsoft.com/office/word/2010/wordprocessingShape">
                    <wps:wsp>
                      <wps:cNvSpPr txBox="1"/>
                      <wps:spPr>
                        <a:xfrm>
                          <a:ext cx="145669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направлении решения</w:t>
                            </w:r>
                          </w:p>
                        </w:txbxContent>
                      </wps:txbx>
                      <wps:bodyPr wrap="none" lIns="0" tIns="0" rIns="0" bIns="0">
                        <a:noAutoFit/>
                      </wps:bodyPr>
                    </wps:wsp>
                  </a:graphicData>
                </a:graphic>
              </wp:anchor>
            </w:drawing>
          </mc:Choice>
          <mc:Fallback>
            <w:pict>
              <v:shape id="_x0000_s1031" type="#_x0000_t202" style="position:absolute;margin-left:77.650000000000006pt;margin-top:246.5pt;width:114.7pt;height:17.050000000000001pt;z-index:-125829372;mso-wrap-distance-left:28.449999999999999pt;mso-wrap-distance-top:22.pt;mso-wrap-distance-right:9.pt;mso-wrap-distance-bottom:12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направлении решения</w:t>
                      </w:r>
                    </w:p>
                  </w:txbxContent>
                </v:textbox>
                <w10:wrap type="topAndBottom" anchorx="page"/>
              </v:shape>
            </w:pict>
          </mc:Fallback>
        </mc:AlternateConten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5"/>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D7E81"/>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5"/>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14"/>
        <w:keepNext w:val="0"/>
        <w:keepLines w:val="0"/>
        <w:widowControl w:val="0"/>
        <w:shd w:val="clear" w:color="auto" w:fill="auto"/>
        <w:tabs>
          <w:tab w:pos="1810"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7.10.2024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ЛИ/11611/</w:t>
      </w:r>
      <w:r>
        <w:rPr>
          <w:color w:val="000000"/>
          <w:spacing w:val="0"/>
          <w:w w:val="100"/>
          <w:position w:val="0"/>
          <w:sz w:val="30"/>
          <w:szCs w:val="30"/>
          <w:shd w:val="clear" w:color="auto" w:fill="auto"/>
          <w:lang w:val="ru-RU" w:eastAsia="ru-RU" w:bidi="ru-RU"/>
        </w:rPr>
        <w:t>24</w:t>
      </w:r>
    </w:p>
    <w:p>
      <w:pPr>
        <w:pStyle w:val="Style5"/>
        <w:keepNext w:val="0"/>
        <w:keepLines w:val="0"/>
        <w:widowControl w:val="0"/>
        <w:shd w:val="clear" w:color="auto" w:fill="auto"/>
        <w:bidi w:val="0"/>
        <w:spacing w:before="0" w:after="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Отделение фонда пенсионного и социального страхования Российской Федерации по Хабаровскому краю и Еврейской автономной области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680000, Хабаровский край,</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 Хабаровск, ул. Ленина, д. 27</w:t>
      </w:r>
    </w:p>
    <w:p>
      <w:pPr>
        <w:pStyle w:val="Style14"/>
        <w:keepNext w:val="0"/>
        <w:keepLines w:val="0"/>
        <w:widowControl w:val="0"/>
        <w:shd w:val="clear" w:color="auto" w:fill="auto"/>
        <w:bidi w:val="0"/>
        <w:spacing w:before="0" w:after="0" w:line="240" w:lineRule="auto"/>
        <w:ind w:left="0" w:right="0" w:firstLine="0"/>
        <w:jc w:val="left"/>
      </w:pPr>
      <w:r>
        <w:fldChar w:fldCharType="begin"/>
      </w:r>
      <w:r>
        <w:rPr/>
        <w:instrText> HYPERLINK "mailto:priyomnaya@27.sfr.gov.ru" </w:instrText>
      </w:r>
      <w:r>
        <w:fldChar w:fldCharType="separate"/>
      </w:r>
      <w:r>
        <w:rPr>
          <w:color w:val="000000"/>
          <w:spacing w:val="0"/>
          <w:w w:val="100"/>
          <w:position w:val="0"/>
          <w:shd w:val="clear" w:color="auto" w:fill="auto"/>
          <w:lang w:val="ru-RU" w:eastAsia="ru-RU" w:bidi="ru-RU"/>
        </w:rPr>
        <w:t>рпуо1П1)ауа@27.4’г.доу. ги</w:t>
      </w:r>
      <w:r>
        <w:fldChar w:fldCharType="end"/>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"mailto:1303@037.pfr.gov.ru" </w:instrText>
      </w:r>
      <w:r>
        <w:fldChar w:fldCharType="separate"/>
      </w:r>
      <w:r>
        <w:rPr>
          <w:color w:val="000000"/>
          <w:spacing w:val="0"/>
          <w:w w:val="100"/>
          <w:position w:val="0"/>
          <w:shd w:val="clear" w:color="auto" w:fill="auto"/>
          <w:lang w:val="ru-RU" w:eastAsia="ru-RU" w:bidi="ru-RU"/>
        </w:rPr>
        <w:t>130)3@0)37.рГг.доу.П1</w:t>
      </w:r>
      <w:r>
        <w:fldChar w:fldCharType="end"/>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«МедСнабСервис»</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300025, Тульская область, г. Тула, пр-кт</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Ленина, д.108, оф. 309</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1а\ууе1\8@Тт-1П181ти;</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"mailto:lawyer6@fin-trust.ru" </w:instrText>
      </w:r>
      <w:r>
        <w:fldChar w:fldCharType="separate"/>
      </w:r>
      <w:r>
        <w:rPr>
          <w:color w:val="000000"/>
          <w:spacing w:val="0"/>
          <w:w w:val="100"/>
          <w:position w:val="0"/>
          <w:u w:val="single"/>
          <w:shd w:val="clear" w:color="auto" w:fill="auto"/>
          <w:lang w:val="ru-RU" w:eastAsia="ru-RU" w:bidi="ru-RU"/>
        </w:rPr>
        <w:t>1а\ууе1Л@Тт-11Т1^1.1Т1</w:t>
      </w:r>
      <w:r>
        <w:fldChar w:fldCharType="end"/>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РТС-тендер</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28" w:bottom="1198" w:left="1140" w:header="0" w:footer="3" w:gutter="0"/>
          <w:pgNumType w:start="1"/>
          <w:cols w:num="2" w:space="490"/>
          <w:noEndnote/>
          <w:titlePg/>
          <w:rtlGutter w:val="0"/>
          <w:docGrid w:linePitch="360"/>
        </w:sectPr>
      </w:pPr>
      <w:r>
        <w:rPr>
          <w:color w:val="000000"/>
          <w:spacing w:val="0"/>
          <w:w w:val="100"/>
          <w:position w:val="0"/>
          <w:shd w:val="clear" w:color="auto" w:fill="auto"/>
          <w:lang w:val="ru-RU" w:eastAsia="ru-RU" w:bidi="ru-RU"/>
        </w:rPr>
        <w:t>тГо@г18-1:еп4ег.ги</w:t>
      </w: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198"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7-1/236</w:t>
      </w:r>
      <w:bookmarkEnd w:id="0"/>
    </w:p>
    <w:p>
      <w:pPr>
        <w:pStyle w:val="Style14"/>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83" behindDoc="0" locked="0" layoutInCell="1" allowOverlap="1">
                <wp:simplePos x="0" y="0"/>
                <wp:positionH relativeFrom="page">
                  <wp:posOffset>775335</wp:posOffset>
                </wp:positionH>
                <wp:positionV relativeFrom="paragraph">
                  <wp:posOffset>12700</wp:posOffset>
                </wp:positionV>
                <wp:extent cx="814070" cy="252730"/>
                <wp:wrapSquare wrapText="right"/>
                <wp:docPr id="11" name="Shape 11"/>
                <a:graphic xmlns:a="http://schemas.openxmlformats.org/drawingml/2006/main">
                  <a:graphicData uri="http://schemas.microsoft.com/office/word/2010/wordprocessingShape">
                    <wps:wsp>
                      <wps:cNvSpPr txBox="1"/>
                      <wps:spPr>
                        <a:xfrm>
                          <a:ext cx="81407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15.10.2024</w:t>
                            </w:r>
                          </w:p>
                        </w:txbxContent>
                      </wps:txbx>
                      <wps:bodyPr wrap="none" lIns="0" tIns="0" rIns="0" bIns="0">
                        <a:noAutoFit/>
                      </wps:bodyPr>
                    </wps:wsp>
                  </a:graphicData>
                </a:graphic>
              </wp:anchor>
            </w:drawing>
          </mc:Choice>
          <mc:Fallback>
            <w:pict>
              <v:shape id="_x0000_s1037" type="#_x0000_t202" style="position:absolute;margin-left:61.050000000000004pt;margin-top:1.pt;width:64.099999999999994pt;height:19.900000000000002pt;z-index:-125829370;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4"/>
        <w:keepNext w:val="0"/>
        <w:keepLines w:val="0"/>
        <w:widowControl w:val="0"/>
        <w:shd w:val="clear" w:color="auto" w:fill="auto"/>
        <w:bidi w:val="0"/>
        <w:spacing w:before="0" w:after="360" w:line="240" w:lineRule="auto"/>
        <w:ind w:left="0" w:right="0" w:firstLine="82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в составе:</w:t>
      </w:r>
    </w:p>
    <w:tbl>
      <w:tblPr>
        <w:tblOverlap w:val="never"/>
        <w:jc w:val="center"/>
        <w:tblLayout w:type="fixed"/>
      </w:tblPr>
      <w:tblGrid>
        <w:gridCol w:w="3216"/>
        <w:gridCol w:w="2486"/>
        <w:gridCol w:w="4560"/>
      </w:tblGrid>
      <w:tr>
        <w:trPr>
          <w:trHeight w:val="802"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320"/>
              <w:jc w:val="left"/>
            </w:pPr>
            <w:r>
              <w:rPr>
                <w:color w:val="000000"/>
                <w:spacing w:val="0"/>
                <w:w w:val="100"/>
                <w:position w:val="0"/>
                <w:shd w:val="clear" w:color="auto" w:fill="auto"/>
                <w:lang w:val="ru-RU" w:eastAsia="ru-RU" w:bidi="ru-RU"/>
              </w:rPr>
              <w:t>Ильченко Л.А.</w:t>
            </w:r>
          </w:p>
        </w:tc>
        <w:tc>
          <w:tcPr>
            <w:tcBorders/>
            <w:shd w:val="clear" w:color="auto" w:fill="auto"/>
            <w:vAlign w:val="top"/>
          </w:tcPr>
          <w:p>
            <w:pPr>
              <w:pStyle w:val="Style22"/>
              <w:keepNext w:val="0"/>
              <w:keepLines w:val="0"/>
              <w:widowControl w:val="0"/>
              <w:shd w:val="clear" w:color="auto" w:fill="auto"/>
              <w:bidi w:val="0"/>
              <w:spacing w:before="0" w:after="0" w:line="240" w:lineRule="auto"/>
              <w:ind w:left="240" w:right="0" w:firstLine="0"/>
              <w:jc w:val="both"/>
            </w:pPr>
            <w:r>
              <w:rPr>
                <w:color w:val="000000"/>
                <w:spacing w:val="0"/>
                <w:w w:val="100"/>
                <w:position w:val="0"/>
                <w:shd w:val="clear" w:color="auto" w:fill="auto"/>
                <w:lang w:val="ru-RU" w:eastAsia="ru-RU" w:bidi="ru-RU"/>
              </w:rPr>
              <w:t>- заместитель руководителя управления;</w:t>
            </w:r>
          </w:p>
        </w:tc>
      </w:tr>
      <w:tr>
        <w:trPr>
          <w:trHeight w:val="970" w:hRule="exact"/>
        </w:trPr>
        <w:tc>
          <w:tcPr>
            <w:tcBorders/>
            <w:shd w:val="clear" w:color="auto" w:fill="auto"/>
            <w:vAlign w:val="top"/>
          </w:tcPr>
          <w:p>
            <w:pPr>
              <w:pStyle w:val="Style22"/>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top"/>
          </w:tcPr>
          <w:p>
            <w:pPr>
              <w:pStyle w:val="Style22"/>
              <w:keepNext w:val="0"/>
              <w:keepLines w:val="0"/>
              <w:widowControl w:val="0"/>
              <w:shd w:val="clear" w:color="auto" w:fill="auto"/>
              <w:bidi w:val="0"/>
              <w:spacing w:before="80" w:after="0" w:line="240" w:lineRule="auto"/>
              <w:ind w:left="0" w:right="0" w:firstLine="320"/>
              <w:jc w:val="left"/>
            </w:pPr>
            <w:r>
              <w:rPr>
                <w:color w:val="000000"/>
                <w:spacing w:val="0"/>
                <w:w w:val="100"/>
                <w:position w:val="0"/>
                <w:shd w:val="clear" w:color="auto" w:fill="auto"/>
                <w:lang w:val="ru-RU" w:eastAsia="ru-RU" w:bidi="ru-RU"/>
              </w:rPr>
              <w:t>Кушнер Ж.В.</w:t>
            </w:r>
          </w:p>
        </w:tc>
        <w:tc>
          <w:tcPr>
            <w:tcBorders/>
            <w:shd w:val="clear" w:color="auto" w:fill="auto"/>
            <w:vAlign w:val="center"/>
          </w:tcPr>
          <w:p>
            <w:pPr>
              <w:pStyle w:val="Style22"/>
              <w:keepNext w:val="0"/>
              <w:keepLines w:val="0"/>
              <w:widowControl w:val="0"/>
              <w:shd w:val="clear" w:color="auto" w:fill="auto"/>
              <w:bidi w:val="0"/>
              <w:spacing w:before="0" w:after="0" w:line="240" w:lineRule="auto"/>
              <w:ind w:left="240" w:right="0" w:firstLine="0"/>
              <w:jc w:val="both"/>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792" w:hRule="exact"/>
        </w:trPr>
        <w:tc>
          <w:tcPr>
            <w:tcBorders/>
            <w:shd w:val="clear" w:color="auto" w:fill="auto"/>
            <w:vAlign w:val="top"/>
          </w:tcPr>
          <w:p>
            <w:pPr>
              <w:widowControl w:val="0"/>
              <w:rPr>
                <w:sz w:val="10"/>
                <w:szCs w:val="10"/>
              </w:rPr>
            </w:pPr>
          </w:p>
        </w:tc>
        <w:tc>
          <w:tcPr>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320"/>
              <w:jc w:val="left"/>
            </w:pPr>
            <w:r>
              <w:rPr>
                <w:color w:val="000000"/>
                <w:spacing w:val="0"/>
                <w:w w:val="100"/>
                <w:position w:val="0"/>
                <w:shd w:val="clear" w:color="auto" w:fill="auto"/>
                <w:lang w:val="ru-RU" w:eastAsia="ru-RU" w:bidi="ru-RU"/>
              </w:rPr>
              <w:t>Михайлова А.А.</w:t>
            </w:r>
          </w:p>
        </w:tc>
        <w:tc>
          <w:tcPr>
            <w:tcBorders/>
            <w:shd w:val="clear" w:color="auto" w:fill="auto"/>
            <w:vAlign w:val="bottom"/>
          </w:tcPr>
          <w:p>
            <w:pPr>
              <w:pStyle w:val="Style22"/>
              <w:keepNext w:val="0"/>
              <w:keepLines w:val="0"/>
              <w:widowControl w:val="0"/>
              <w:shd w:val="clear" w:color="auto" w:fill="auto"/>
              <w:bidi w:val="0"/>
              <w:spacing w:before="0" w:after="0" w:line="240" w:lineRule="auto"/>
              <w:ind w:left="240" w:right="0" w:firstLine="0"/>
              <w:jc w:val="both"/>
            </w:pPr>
            <w:r>
              <w:rPr>
                <w:color w:val="000000"/>
                <w:spacing w:val="0"/>
                <w:w w:val="100"/>
                <w:position w:val="0"/>
                <w:shd w:val="clear" w:color="auto" w:fill="auto"/>
                <w:lang w:val="ru-RU" w:eastAsia="ru-RU" w:bidi="ru-RU"/>
              </w:rPr>
              <w:t>- начальник отдела контроля закупок,</w:t>
            </w:r>
          </w:p>
        </w:tc>
      </w:tr>
    </w:tbl>
    <w:p>
      <w:pPr>
        <w:widowControl w:val="0"/>
        <w:spacing w:after="279" w:line="1" w:lineRule="exact"/>
      </w:pPr>
    </w:p>
    <w:p>
      <w:pPr>
        <w:pStyle w:val="Style14"/>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ru-RU" w:eastAsia="ru-RU" w:bidi="ru-RU"/>
        </w:rPr>
        <w:t>в присутствии представителей заказчика - Отделения фонда пенсионного и социального страхования Российской Федерации по Хабаровскому краю и</w:t>
      </w:r>
    </w:p>
    <w:p>
      <w:pPr>
        <w:pStyle w:val="Style2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1111111111111111111111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Еврейской автономной области Степаненко С.А. по доверенности от 17.04.2024 № 5566-13/5-100, Горленко М.М. по доверенности от 02.05.2024 № 5566-13/5-102,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отсутствие представителя заявителя - общества с ограниченной ответственностью </w:t>
      </w:r>
      <w:r>
        <w:rPr>
          <w:color w:val="00008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МедСнабСервис</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(о дате, времени и месте рассмотрения Общество уведомлено надлежащим образом).</w:t>
      </w:r>
    </w:p>
    <w:p>
      <w:pPr>
        <w:pStyle w:val="Style1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рассмотрев жалобу общества с ограниченной ответственностью </w:t>
      </w:r>
      <w:r>
        <w:rPr>
          <w:color w:val="00008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МедСнабСервис» (далее также - ООО «МедСнабСервис», Общество, заявитель) и материалы дела № 027/06/105-1499/2024, Комиссия Хабаровского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Управление Федеральной антимонопольной службы по Хабаровскому краю (далее также - Хабаровское УФАС России) поступила жалоба ООО </w:t>
      </w:r>
      <w:r>
        <w:rPr>
          <w:color w:val="00008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МедСнабСервис» на действия заказчика - Отделения фонда пенсионного и социального страхования Российской Федерации по Хабаровскому краю и Еврейской автономной области (далее также - ОСФР</w:t>
      </w:r>
      <w:r>
        <w:rPr>
          <w:color w:val="000080"/>
          <w:spacing w:val="0"/>
          <w:w w:val="100"/>
          <w:position w:val="0"/>
          <w:shd w:val="clear" w:color="auto" w:fill="auto"/>
          <w:lang w:val="ru-RU" w:eastAsia="ru-RU" w:bidi="ru-RU"/>
        </w:rPr>
        <w:t>_</w:t>
      </w:r>
      <w:r>
        <w:rPr>
          <w:color w:val="000000"/>
          <w:spacing w:val="0"/>
          <w:w w:val="100"/>
          <w:position w:val="0"/>
          <w:shd w:val="clear" w:color="auto" w:fill="auto"/>
          <w:lang w:val="ru-RU" w:eastAsia="ru-RU" w:bidi="ru-RU"/>
        </w:rPr>
        <w:t>по Хабаровскому краю и ЕАО, заказчик) при осуществлении закупки путем проведения запроса котировок в электронной форме на поставку сигнализаторов звука в 2024 году (Извещение от 02.10.2024 № 0222100000124000390).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в своей жалобе указывает на нарушение заказчиком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 44-ФЗ) при описании объекта закупки, в том числе в части установления избыточных требований, которые не востребованы пользователями, что влечет за собой необоснованное ограничение количества потенциальных поставщиков. Также, заявитель в своей жалобе указывает о несоответствии проекта контракта, являющегося неотъемлемой частью извещения о проведении закупки, требованиям, установленным Законом № 44-ФЗ и типовым контрактом, утвержденным приказом Министерства труда и социальной защиты РФ от 11.03.2019 № 144н.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ст. 99 Закона № 44-ФЗ,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 0222100000124000390 о проведении закупки размещено на официальном сайте единой информационной системы в сфере закупок 02.10.2024.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поставка сигнализаторов звука в 2024 году.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2 634 833,00 рублей.</w:t>
      </w:r>
    </w:p>
    <w:p>
      <w:pPr>
        <w:pStyle w:val="Style1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Установлено ограничение допуска товаров в соответствии с Постановлением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а также условия допуска в </w:t>
      </w:r>
      <w:r>
        <w:rPr>
          <w:color w:val="000000"/>
          <w:spacing w:val="0"/>
          <w:w w:val="100"/>
          <w:position w:val="0"/>
          <w:shd w:val="clear" w:color="auto" w:fill="auto"/>
          <w:lang w:val="ru-RU" w:eastAsia="ru-RU" w:bidi="ru-RU"/>
        </w:rPr>
        <w:t>соответствии с приказом Минфина России № 126н от 04.06.2018.</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02.10.2024 16:14 (МСК+7).</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09.10.2024 07:00 (МСК+7).</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10.10.2024.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заказчиком представлен мотивированный отзыв.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 027/06/105-1499/2024, исходя из конкретных обстоятельств настоящего дела, Комиссия Хабаровского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 ст. 1 Закона № 44-ФЗ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 2 ст. 8 Закона № 44-ФЗ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закупки является поставка сигнализаторов звука в 2024 году (КТРУ 27.90.20.120-00000001 - Сигнализатор звука цифровой с световой индикацией, КТРУ 27.90.20.120-00000002 - Сигнализатор звука цифровой с вибрационной индикацией, КТРУ 27.90.20.120-00000003 - Сигнализатор звука цифровой с вибрационной и световой индикацией).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соответствии с ч. 6 ст. 23 настоящего Федерального закона, указание (в случае </w:t>
      </w:r>
      <w:r>
        <w:rPr>
          <w:color w:val="000000"/>
          <w:spacing w:val="0"/>
          <w:w w:val="100"/>
          <w:position w:val="0"/>
          <w:shd w:val="clear" w:color="auto" w:fill="auto"/>
          <w:lang w:val="ru-RU" w:eastAsia="ru-RU" w:bidi="ru-RU"/>
        </w:rPr>
        <w:t>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6 ст. 23 Закона №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Правила использования каталога товаров, работ, услуг для обеспечения государственных и муниципальных нужд (далее также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1"/>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4"/>
        <w:keepNext w:val="0"/>
        <w:keepLines w:val="0"/>
        <w:widowControl w:val="0"/>
        <w:numPr>
          <w:ilvl w:val="0"/>
          <w:numId w:val="1"/>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1"/>
        </w:numPr>
        <w:shd w:val="clear" w:color="auto" w:fill="auto"/>
        <w:tabs>
          <w:tab w:pos="108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w:t>
      </w:r>
      <w:r>
        <w:rPr>
          <w:color w:val="000000"/>
          <w:spacing w:val="0"/>
          <w:w w:val="100"/>
          <w:position w:val="0"/>
          <w:shd w:val="clear" w:color="auto" w:fill="auto"/>
          <w:lang w:val="ru-RU" w:eastAsia="ru-RU" w:bidi="ru-RU"/>
        </w:rPr>
        <w:t>положениями ст. 33 Федерального закона, которые не предусмотрены в позиции каталога, за исключением случаев:</w:t>
      </w:r>
    </w:p>
    <w:p>
      <w:pPr>
        <w:pStyle w:val="Style14"/>
        <w:keepNext w:val="0"/>
        <w:keepLines w:val="0"/>
        <w:widowControl w:val="0"/>
        <w:numPr>
          <w:ilvl w:val="0"/>
          <w:numId w:val="3"/>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осуществления закупки радиоэлектронной продукции, включенной в п.п.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4"/>
        <w:keepNext w:val="0"/>
        <w:keepLines w:val="0"/>
        <w:widowControl w:val="0"/>
        <w:numPr>
          <w:ilvl w:val="0"/>
          <w:numId w:val="3"/>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 1 ч. 1 ст. 33 Федерального закона, указываются с использованием единой информационной системы при формировании извещения об осуществлении </w:t>
      </w:r>
      <w:r>
        <w:rPr>
          <w:color w:val="000000"/>
          <w:spacing w:val="0"/>
          <w:w w:val="100"/>
          <w:position w:val="0"/>
          <w:shd w:val="clear" w:color="auto" w:fill="auto"/>
          <w:lang w:val="ru-RU" w:eastAsia="ru-RU" w:bidi="ru-RU"/>
        </w:rPr>
        <w:t>закупки, приглашения принять участие в определении поставщика (подрядчика, исполнителя) в соответствии с ч. 1 ст. 42, п. 1 ч.1 ст. 75 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содержания извещения о проведении спорной закупки следует, что в объект закупки заказчиком включены товары, сведения о которых содержатся в КТРУ, в свою очередь, каталог не содержит описания характеристик, таким образом в рассматриваемом случае заказчиком описание объекта закупки приведено в порядке ст. 33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2 ст. 42 Закона № 44-ФЗ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4"/>
        <w:keepNext w:val="0"/>
        <w:keepLines w:val="0"/>
        <w:widowControl w:val="0"/>
        <w:numPr>
          <w:ilvl w:val="0"/>
          <w:numId w:val="5"/>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настоящего Федерального закона;</w:t>
      </w:r>
    </w:p>
    <w:p>
      <w:pPr>
        <w:pStyle w:val="Style14"/>
        <w:keepNext w:val="0"/>
        <w:keepLines w:val="0"/>
        <w:widowControl w:val="0"/>
        <w:numPr>
          <w:ilvl w:val="0"/>
          <w:numId w:val="5"/>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14"/>
        <w:keepNext w:val="0"/>
        <w:keepLines w:val="0"/>
        <w:widowControl w:val="0"/>
        <w:numPr>
          <w:ilvl w:val="0"/>
          <w:numId w:val="5"/>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numPr>
          <w:ilvl w:val="0"/>
          <w:numId w:val="5"/>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и оценки заявок на участие в конкурсах в соответствии с настоящим Федеральным законом;</w:t>
      </w:r>
    </w:p>
    <w:p>
      <w:pPr>
        <w:pStyle w:val="Style14"/>
        <w:keepNext w:val="0"/>
        <w:keepLines w:val="0"/>
        <w:widowControl w:val="0"/>
        <w:numPr>
          <w:ilvl w:val="0"/>
          <w:numId w:val="5"/>
        </w:numPr>
        <w:shd w:val="clear" w:color="auto" w:fill="auto"/>
        <w:tabs>
          <w:tab w:pos="18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14"/>
        <w:keepNext w:val="0"/>
        <w:keepLines w:val="0"/>
        <w:widowControl w:val="0"/>
        <w:numPr>
          <w:ilvl w:val="0"/>
          <w:numId w:val="5"/>
        </w:numPr>
        <w:shd w:val="clear" w:color="auto" w:fill="auto"/>
        <w:tabs>
          <w:tab w:pos="1133"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4"/>
        <w:keepNext w:val="0"/>
        <w:keepLines w:val="0"/>
        <w:widowControl w:val="0"/>
        <w:numPr>
          <w:ilvl w:val="0"/>
          <w:numId w:val="7"/>
        </w:numPr>
        <w:shd w:val="clear" w:color="auto" w:fill="auto"/>
        <w:tabs>
          <w:tab w:pos="1459"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pPr>
        <w:pStyle w:val="Style14"/>
        <w:keepNext w:val="0"/>
        <w:keepLines w:val="0"/>
        <w:widowControl w:val="0"/>
        <w:numPr>
          <w:ilvl w:val="0"/>
          <w:numId w:val="7"/>
        </w:numPr>
        <w:shd w:val="clear" w:color="auto" w:fill="auto"/>
        <w:tabs>
          <w:tab w:pos="1459"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pPr>
        <w:pStyle w:val="Style14"/>
        <w:keepNext w:val="0"/>
        <w:keepLines w:val="0"/>
        <w:widowControl w:val="0"/>
        <w:numPr>
          <w:ilvl w:val="0"/>
          <w:numId w:val="7"/>
        </w:numPr>
        <w:shd w:val="clear" w:color="auto" w:fill="auto"/>
        <w:tabs>
          <w:tab w:pos="1459"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Style14"/>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 xml:space="preserve">Согласно п. 1 ч. 1 ст. 33 Закона № 44-ФЗ в описании объекта закупки </w:t>
      </w:r>
      <w:r>
        <w:rPr>
          <w:color w:val="000000"/>
          <w:spacing w:val="0"/>
          <w:w w:val="100"/>
          <w:position w:val="0"/>
          <w:shd w:val="clear" w:color="auto" w:fill="auto"/>
          <w:lang w:val="ru-RU" w:eastAsia="ru-RU" w:bidi="ru-RU"/>
        </w:rPr>
        <w:t>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9"/>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4"/>
        <w:keepNext w:val="0"/>
        <w:keepLines w:val="0"/>
        <w:widowControl w:val="0"/>
        <w:numPr>
          <w:ilvl w:val="0"/>
          <w:numId w:val="9"/>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9"/>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9"/>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2 ч. 1 ст. 33 Закона № 44-ФЗ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2 ст. 33 Закона № 44-ФЗ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Pr>
          <w:color w:val="000000"/>
          <w:spacing w:val="0"/>
          <w:w w:val="100"/>
          <w:position w:val="0"/>
          <w:shd w:val="clear" w:color="auto" w:fill="auto"/>
          <w:lang w:val="ru-RU" w:eastAsia="ru-RU" w:bidi="ru-RU"/>
        </w:rPr>
        <w:t>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смыслу ст. 33 Закона № 44-ФЗ, при формировании технического задания заказчику в рамках Закона № 44-ФЗ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трактования указанной нормы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2 ст. 19 Закона № 44-ФЗ,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содержания описания объекта спорной закупки следует, что заказчиком, помимо прочего, установлено требование о соответствии закупаемого товара требованиям в том числе ГОСТ Р 70185-2022 «Технические средства реабилитации. Сигнализаторы звука световые и вибрационные. Общие технические условия», который был утвержден и введен в действие 01.12.2022 Приказом Федерального агентства по техническому регулированию и метрологии от 23.06.2022 №526-ст.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пояснениям представителей заказчика, при составлении Технического задания (описание объекта закупки) по закупке (Извещение от 02.10.2024 № 0222100000124000390) последний использовал типовое техническое задание, сформированное и утвержденное приказом Центрального аппарата пенсионного и социального страхования Российской Федерации от 01.11.2023 № 2178, с учетом ГОСТ Р 70185-2022. При этом типовое техническое задание предварительно было согласовано Центральным аппаратом пенсионного и социального страхования Российской Федерации с общероссийской общественной организацией инвалидов «Всероссийское общество глухих» (письмо от 24.10.2023 № 00898/и).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 № 44-ФЗ обязывает при установлении требований к закупаемым товарам применять значения характеристик, предусмотренных документами национальной системы стандартизации, что и было исполнено заказчиком путем использования в том числе и положений ГОСТ Р 70185-2022.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на заседании Комиссии Хабаровского УФАС России представители заказчика пояснили, что требования к закупаемому товару установлены заказчиком исходя из необходимости закупки товара, удовлетворяющего потребностям заказчика с целью оказания социальной помощи гражданам.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Хабаровского УФАС России отмечает, что в случае, если при закупке товаров среди требуемых к поставке позиций присутствует хотя бы один </w:t>
      </w:r>
      <w:r>
        <w:rPr>
          <w:color w:val="000000"/>
          <w:spacing w:val="0"/>
          <w:w w:val="100"/>
          <w:position w:val="0"/>
          <w:shd w:val="clear" w:color="auto" w:fill="auto"/>
          <w:lang w:val="ru-RU" w:eastAsia="ru-RU" w:bidi="ru-RU"/>
        </w:rPr>
        <w:t>товар, требования к 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извещения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при наличии у заказчика обоснованной потребности в поставке именно таких товаров, характеристики которых указаны в извещении о проведении закупки, заказчику необходимо удостовериться в несовместимости оборудования установленного на объекте заказчика с оборудованием иных производителей, а также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 При этом заказчику требуется обладать документальным подтверждением такой несовместимости или обоснованием потребности, но не руководствоваться предположениями, в то же время такое обоснование должно содержаться в документации о закупке. На основании вышеизложенного,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 33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на заседание Комиссии Хабаровского УФАС России заказчик представил доказательства, опровергающие то обстоятельство, что описанный им товар содержит характеристики, ограничивающие участие потенциальных поставщиков. Так, Комиссии Хабаровского УФАС представлена сравнительная таблица к требованиям описания объекта закупки, согласно которой описание объекта спорной закупки соответствует как минимум трем сигнализаторам звука разных производителей, а именно:</w:t>
      </w:r>
    </w:p>
    <w:p>
      <w:pPr>
        <w:pStyle w:val="Style14"/>
        <w:keepNext w:val="0"/>
        <w:keepLines w:val="0"/>
        <w:widowControl w:val="0"/>
        <w:numPr>
          <w:ilvl w:val="0"/>
          <w:numId w:val="11"/>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Сигнализатор звука «8еп§о» (ООО «Исток Аудио Трейдинг»);</w:t>
      </w:r>
    </w:p>
    <w:p>
      <w:pPr>
        <w:pStyle w:val="Style14"/>
        <w:keepNext w:val="0"/>
        <w:keepLines w:val="0"/>
        <w:widowControl w:val="0"/>
        <w:numPr>
          <w:ilvl w:val="0"/>
          <w:numId w:val="11"/>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Сигнализатор звука «Энеджи» (ООО «Элита Групп»);</w:t>
      </w:r>
    </w:p>
    <w:p>
      <w:pPr>
        <w:pStyle w:val="Style14"/>
        <w:keepNext w:val="0"/>
        <w:keepLines w:val="0"/>
        <w:widowControl w:val="0"/>
        <w:numPr>
          <w:ilvl w:val="0"/>
          <w:numId w:val="11"/>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Сигнализатор звука «Вибролайн» (ООО КБ «Контур»).</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 Комиссии Хабаровского УФАС России отсутствуют достаточные основания для сомнений относительно достоверности представленной заказчиком информации.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заказчик проводит закупку на поставку продукции для неограниченного количество лиц, где предметом закупки является не производство, а поставка продукции, находящейся в свободном гражданском обращении.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Технические характеристики товара позволяют любому лицу (юридическому или физическому) принять участие в закупке, если это лицо обладает товаром либо имеет возможность его приобретения и желает принять участие в торгах.</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Относительно довода жалобы в части установления в Техническом задании </w:t>
      </w:r>
      <w:r>
        <w:rPr>
          <w:color w:val="000000"/>
          <w:spacing w:val="0"/>
          <w:w w:val="100"/>
          <w:position w:val="0"/>
          <w:shd w:val="clear" w:color="auto" w:fill="auto"/>
          <w:lang w:val="ru-RU" w:eastAsia="ru-RU" w:bidi="ru-RU"/>
        </w:rPr>
        <w:t>избыточных требований таких как: наличие дисплея; наличие регулировки уровня громкости и мелодии звуковых сигналов; оповещение пользователя о произошедших бытовых событиях с помощью вибрационной, световой и звуковой индикации; оповещение пользователя о произошедших бытовых событиях в текстовом виде (за счет текста на русском языке; возможность записи и просмотра событий, с указанием времени произошедшего и пропущенного события и описания характера события на русском языке, которые, по мнению заявителя, не востребованы пользователями, данный довод опровергается письмом общероссийской общественной организацией инвалидов «Всероссийское общество глухих» от 24.10.2023 № 00898/и, где указанные характеристики согласованы последним.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УФАС отмечает, что ч. 4 ст. 106 Закона № 44-ФЗ предусмотрено, что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податель жалобы своим правом не воспользовался и не представил доказательств, в том числе, экспертиз, экспертных заключений, подтверждающих доводы заявителя о том, что указанные в извещении требования не обусловлены необходимостью удовлетворения потребности заказчика и приведут к закупкам товаров, которые имеют избыточные потребительские свойства и не влияют на функциональные и потребительские свойства закупаемых товаров, не определяют их качественные характеристики, необходимые заказчику, тем самым необоснованно ограничивают количество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указанных обстоятельствах Комиссия Хабаровского УФАС России не находит достаточных оснований для признания в указанных заявителем действиях заказчика нарушений Закона № 44-ФЗ при описании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жалоба в части нарушения заказчиком требований Закона № 44-ФЗ при описании объекта закупки, в том числе в части установления избыточных требований, признается необоснованной.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о несоответствии проекта контракта, являющегося неотъемлемой частью извещения о проведении закупки, требованиям, установленным Законом № 44-ФЗ и типовым контрактом, утвержденным приказом Министерства труда и социальной защиты РФ от 11.03.2019 № 144н, Комиссия Хабаровского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5 ч. 2 ст. 42 Закона № 44-ФЗ извещение об осуществлении закупки, если иное не предусмотрено Законом № 44-ФЗ, должно содержать проект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контракту определены в статье 34 Закона № 44-ФЗ, частью 11 которой определено, что Правительство Российской Федерации вправе установить типовые условия контрактов, подлежащие применению заказчиками при осуществлении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Приказом Минтруда России от 11.03.2019 № 144н утвержден типовой контракт на поставку отдельных видов технических средств реабилитации серийного производства, не требующих индивидуального изготовления, предусмотренных </w:t>
      </w:r>
      <w:r>
        <w:rPr>
          <w:color w:val="000000"/>
          <w:spacing w:val="0"/>
          <w:w w:val="100"/>
          <w:position w:val="0"/>
          <w:shd w:val="clear" w:color="auto" w:fill="auto"/>
          <w:lang w:val="ru-RU" w:eastAsia="ru-RU" w:bidi="ru-RU"/>
        </w:rPr>
        <w:t>федеральным перечнем реабилитационных мероприятий, технических средств реабилитации и услуг, предоставляемых инвалиду, и информационная карта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(далее - типовой контракт).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12 ст. 8 Федерального закона от 02.07.2021 № 360-ФЗ «О внесении изменений в отдельные законодательные акты Российской Федерации» условия типовых контрактов и типовые условия контрактов, утвержденные до дня вступления в силу настоящего Федерального закона, применяются до утверждения Правительством Российской Федерации типовых условий контрактов в соответствующей сфере в части, не противоречащей Закону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контракт (приложение к извещению о проведении спорной закупки) не содержит условия, которые установлены в типовой форме контракта. Так типовым контрактом предусмотрено право поставщика привлекать к исполнению своих обязательств по контракту соисполнителей (п. 3.4.2 типового контракта), при этом в проекте контракта данное положение не отражено. Также, п. 6.3 типового контракта предусмотрены случаи, когда цена контракта подлежит изменению:</w:t>
      </w:r>
    </w:p>
    <w:p>
      <w:pPr>
        <w:pStyle w:val="Style14"/>
        <w:keepNext w:val="0"/>
        <w:keepLines w:val="0"/>
        <w:widowControl w:val="0"/>
        <w:numPr>
          <w:ilvl w:val="0"/>
          <w:numId w:val="13"/>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снижения цены контракта без изменения предусмотренных контрактом количества, качества поставляемого товара и иных условий контракта;</w:t>
      </w:r>
    </w:p>
    <w:p>
      <w:pPr>
        <w:pStyle w:val="Style14"/>
        <w:keepNext w:val="0"/>
        <w:keepLines w:val="0"/>
        <w:widowControl w:val="0"/>
        <w:numPr>
          <w:ilvl w:val="0"/>
          <w:numId w:val="13"/>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увеличения или уменьшения по предложению заказчика предусмотренного контрактом количества товара не более чем на десять процентов;</w:t>
      </w:r>
    </w:p>
    <w:p>
      <w:pPr>
        <w:pStyle w:val="Style14"/>
        <w:keepNext w:val="0"/>
        <w:keepLines w:val="0"/>
        <w:widowControl w:val="0"/>
        <w:numPr>
          <w:ilvl w:val="0"/>
          <w:numId w:val="13"/>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случаях, предусмотренных пунктом 6 статьи 161 Бюджетного кодекса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проекте контракта такие случаи не прописаны.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спорная закупка проводится у субъектов малого и среднего предпринимательства в соответствии с ч. 3 ст. 30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Типовым контрактом (п. 7.1 вариант 2) предусмотрено освобождение поставщика от необходимости предоставлять обеспечение исполнения контракта и гарантийных обязательств в случае соблюдения им требований, предусмотренных частью 8.1 статьи 96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как следует из жалобы, заказчик данную возможность исключил из проекта контракта, чем ограничил права поставщиков и нарушил требования Закона № 44-ФЗ и требования, установленные в типовом контракте.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заявитель считает, что контракт содержит условия, которые не соответствуют положениям типовой формы контракта, а именно: п. 12.2 проекта контракта не соответствует п. 12.2 типового контракта, а именно: в п. 12.2 проекта контракта указан срок для рассмотрения претензии - 10 рабочих дней, при этом в п. 12.2 типового контракта срок для рассмотрения претензии установлен 20 календарных дней.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Проанализировав положения проекта контракта по спорной закупке и положения типового контракта, Комиссия Хабаровского УФАС России пришла к </w:t>
      </w:r>
      <w:r>
        <w:rPr>
          <w:color w:val="000000"/>
          <w:spacing w:val="0"/>
          <w:w w:val="100"/>
          <w:position w:val="0"/>
          <w:shd w:val="clear" w:color="auto" w:fill="auto"/>
          <w:lang w:val="ru-RU" w:eastAsia="ru-RU" w:bidi="ru-RU"/>
        </w:rPr>
        <w:t>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5 ст. 30 Закона № 44-ФЗ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Данное положение продублировано в п. 3.4.2 типового контракта, где установлено, что Поставщик вправе привлекать к исполнению своих обязательств по контракту соисполнителей. В отношении соисполнителей Поставщик выполняет функции заказчика. Поставщик несет ответственность за неисполнение или ненадлежащее исполнение обязательств соисполнителями в соответствии с гражданским законодательством.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сформированном заказчиком проекте контракта данное положение отсутствует, что является нарушением ч. 11 ст. 34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6.3 типового контракта установлено, что цена контракта является твердой и определяется на весь срок исполнения контракта и не подлежит изменению, за исключением случаев, предусмотренных статьей 34 и 95 Федерального закона № 44-ФЗ, в том числе:</w:t>
      </w:r>
    </w:p>
    <w:p>
      <w:pPr>
        <w:pStyle w:val="Style14"/>
        <w:keepNext w:val="0"/>
        <w:keepLines w:val="0"/>
        <w:widowControl w:val="0"/>
        <w:numPr>
          <w:ilvl w:val="0"/>
          <w:numId w:val="13"/>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случае снижения цены контракта без изменения предусмотренных контрактом количества, качества поставляемого товара и иных условий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увеличения или уменьшения по предложению заказчика предусмотренного контрактом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сформированном заказчиком проекте контракта (п. 6.3) установлено, что цена контракта является твердой и определяется на весь срок исполнения контракта и не подлежит изменению, за исключением случаев, предусмотренных Федеральным законом № 44-ФЗ, что не противоречит ни п. 6.3 типового контракта, ни положениям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4 ст. 96 Закона № 44-ФЗ,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8.1 ст. 96 Закона № 44-ФЗ установлено, что участник закупки, с которым заключается контракт по результатам определения поставщика </w:t>
      </w:r>
      <w:r>
        <w:rPr>
          <w:color w:val="000000"/>
          <w:spacing w:val="0"/>
          <w:w w:val="100"/>
          <w:position w:val="0"/>
          <w:shd w:val="clear" w:color="auto" w:fill="auto"/>
          <w:lang w:val="ru-RU" w:eastAsia="ru-RU" w:bidi="ru-RU"/>
        </w:rPr>
        <w:t>(подрядчика,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Федерального закона № 44-ФЗ,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7.1 (вариант 2) типового контракта также предусмотрено освобождение поставщика от необходимости предоставлять обеспечение исполнения контракта и гарантийных обязательств в случае соблюдения им требований, предусмотренных частью 8.1 статьи 96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сформированном заказчиком проекте контракта данное положение отсутствует, что является нарушением ч. 11 ст. 34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12.2 типового контракта установлено, что претензия оформляется в письменной форме или в форме электронных документов, подписанных УКЭП.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Срок рассмотрения претензии не должен превышать 20 календарных дней. Переписка Сторон может осуществляться в виде писем или телеграмм, а в случаях направления телефакса, факса, иного электронного сообщения - с последующим предоставлением оригинала документа или в форме электронных документов, подписанных УКЭП.</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сформированном заказчиком проекте контракта (п. 12.2) установлено, что претензия оформляется в форме электронного документа, подписанного УКЭП.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Срок рассмотрения претензии не должен превышать 10 рабочих дней. В случае обмена документами при применении мер ответственности и совершении иных действий в связи с нарушением Исполнителем или Государственным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w:t>
      </w:r>
      <w:r>
        <w:rPr>
          <w:color w:val="000000"/>
          <w:spacing w:val="0"/>
          <w:w w:val="100"/>
          <w:position w:val="0"/>
          <w:shd w:val="clear" w:color="auto" w:fill="auto"/>
          <w:lang w:val="ru-RU" w:eastAsia="ru-RU" w:bidi="ru-RU"/>
        </w:rPr>
        <w:t>размещаются в единой информационной системе без размещения на официальном сайте.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п. 12.2 проекта контракта не соответствует п. 12.2 типового контракта, что является нарушением ч. 11 ст. 34 Закона № 44-ФЗ.</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жалоба в части несоответствия проекта контракта, являющегося неотъемлемой частью извещения о проведении закупки, требованиям, установленным Законом № 44-ФЗ и типовым контрактом, утвержденным приказом Министерства труда и социальной защиты РФ от 11.03.2019 № 144н, признается обоснованной.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 нарушение ч. 11 ст. 34 Закона № 44-ФЗ предусмотрена административная ответственность в соответствии с ч. 1.4 ст.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Учитывая выявленные в ходе проведения внеплановой проверки нарушения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Комиссия Хабаровского УФАС России приходит к выводу о необходимости выдачи заказчику предписания об устранении допущенных нарушений.</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Также Комиссия Хабаровского УФАС России принимает во внимание, что заявитель явку своих полномочных представителей не обеспечил, сведения (информацию) и документы, свидетельствующие о нарушении его прав и законных интересов не предоставил.</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«МедСнабСервис» на действия заказчика - ОСФР по Хабаровскому краю и ЕАО при осуществлении закупки путем проведения запроса котировок в электронной форме на поставку сигнализаторов звука в 2024 году (Извещение от 02.10.2024 № 0222100000124000390) </w:t>
      </w:r>
      <w:r>
        <w:rPr>
          <w:b/>
          <w:bCs/>
          <w:color w:val="000000"/>
          <w:spacing w:val="0"/>
          <w:w w:val="100"/>
          <w:position w:val="0"/>
          <w:shd w:val="clear" w:color="auto" w:fill="auto"/>
          <w:lang w:val="ru-RU" w:eastAsia="ru-RU" w:bidi="ru-RU"/>
        </w:rPr>
        <w:t xml:space="preserve">обоснованной в части </w:t>
      </w:r>
      <w:r>
        <w:rPr>
          <w:color w:val="000000"/>
          <w:spacing w:val="0"/>
          <w:w w:val="100"/>
          <w:position w:val="0"/>
          <w:shd w:val="clear" w:color="auto" w:fill="auto"/>
          <w:lang w:val="ru-RU" w:eastAsia="ru-RU" w:bidi="ru-RU"/>
        </w:rPr>
        <w:t>несоответствия проекта контракта, являющегося неотъемлемой частью извещения о проведении закупки, требованиям, установленным Законом № 44-ФЗ и типовым контрактом, утвержденным приказом Министерства труда и социальной защиты РФ от 11.03.2019 № 144н.</w:t>
      </w:r>
    </w:p>
    <w:p>
      <w:pPr>
        <w:pStyle w:val="Style14"/>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 ОСФР по Хабаровскому краю и ЕАО нарушившим требования ч. 11 ст. 34 Закона № 44-ФЗ.</w:t>
      </w:r>
    </w:p>
    <w:p>
      <w:pPr>
        <w:pStyle w:val="Style14"/>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 ОСФР по Хабаровскому краю и ЕАО</w:t>
      </w:r>
      <w:r>
        <w:rPr>
          <w:color w:val="000080"/>
          <w:spacing w:val="0"/>
          <w:w w:val="100"/>
          <w:position w:val="0"/>
          <w:shd w:val="clear" w:color="auto" w:fill="auto"/>
          <w:lang w:val="ru-RU" w:eastAsia="ru-RU" w:bidi="ru-RU"/>
        </w:rPr>
        <w:t>_</w:t>
      </w:r>
      <w:r>
        <w:rPr>
          <w:color w:val="000000"/>
          <w:spacing w:val="0"/>
          <w:w w:val="100"/>
          <w:position w:val="0"/>
          <w:shd w:val="clear" w:color="auto" w:fill="auto"/>
          <w:lang w:val="ru-RU" w:eastAsia="ru-RU" w:bidi="ru-RU"/>
        </w:rPr>
        <w:t>предписание об устранении допущенных нарушений Закона № 44-ФЗ.</w:t>
      </w:r>
    </w:p>
    <w:p>
      <w:pPr>
        <w:pStyle w:val="Style14"/>
        <w:keepNext w:val="0"/>
        <w:keepLines w:val="0"/>
        <w:widowControl w:val="0"/>
        <w:numPr>
          <w:ilvl w:val="0"/>
          <w:numId w:val="15"/>
        </w:numPr>
        <w:shd w:val="clear" w:color="auto" w:fill="auto"/>
        <w:tabs>
          <w:tab w:pos="1411"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решения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280" w:line="240" w:lineRule="auto"/>
        <w:ind w:left="0" w:right="0" w:firstLine="720"/>
        <w:jc w:val="both"/>
        <w:sectPr>
          <w:footnotePr>
            <w:pos w:val="pageBottom"/>
            <w:numFmt w:val="decimal"/>
            <w:numRestart w:val="continuous"/>
          </w:footnotePr>
          <w:type w:val="continuous"/>
          <w:pgSz w:w="11900" w:h="16840"/>
          <w:pgMar w:top="284" w:right="494" w:bottom="1198" w:left="1053" w:header="0" w:footer="3" w:gutter="0"/>
          <w:cols w:space="720"/>
          <w:noEndnote/>
          <w:rtlGutter w:val="0"/>
          <w:docGrid w:linePitch="360"/>
        </w:sectPr>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105" w:right="536" w:bottom="1505" w:left="1106" w:header="0" w:footer="3" w:gutter="0"/>
          <w:cols w:space="720"/>
          <w:noEndnote/>
          <w:rtlGutter w:val="0"/>
          <w:docGrid w:linePitch="360"/>
        </w:sectPr>
      </w:pPr>
      <w:r>
        <w:rPr>
          <w:color w:val="000000"/>
          <w:spacing w:val="0"/>
          <w:w w:val="100"/>
          <w:position w:val="0"/>
          <w:shd w:val="clear" w:color="auto" w:fill="auto"/>
          <w:lang w:val="ru-RU" w:eastAsia="ru-RU" w:bidi="ru-RU"/>
        </w:rPr>
        <w:t>края в течение трех месяцев со дня его оглашения.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1" w:left="0" w:header="0" w:footer="3" w:gutter="0"/>
          <w:cols w:space="720"/>
          <w:noEndnote/>
          <w:rtlGutter w:val="0"/>
          <w:docGrid w:linePitch="360"/>
        </w:sectPr>
      </w:pPr>
    </w:p>
    <w:p>
      <w:pPr>
        <w:pStyle w:val="Style14"/>
        <w:keepNext w:val="0"/>
        <w:keepLines w:val="0"/>
        <w:framePr w:w="2952" w:h="398"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8"/>
        <w:keepNext w:val="0"/>
        <w:keepLines w:val="0"/>
        <w:framePr w:w="2016" w:h="163" w:wrap="none" w:vAnchor="text" w:hAnchor="page" w:x="5158" w:y="72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28"/>
        <w:keepNext w:val="0"/>
        <w:keepLines w:val="0"/>
        <w:framePr w:w="2712" w:h="403" w:wrap="none" w:vAnchor="text" w:hAnchor="page" w:x="5091" w:y="23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14"/>
        <w:keepNext w:val="0"/>
        <w:keepLines w:val="0"/>
        <w:framePr w:w="1771" w:h="398" w:wrap="none" w:vAnchor="text" w:hAnchor="page" w:x="9546"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p>
      <w:pPr>
        <w:widowControl w:val="0"/>
        <w:spacing w:line="360" w:lineRule="exact"/>
      </w:pPr>
      <w:r>
        <w:drawing>
          <wp:anchor distT="0" distB="0" distL="0" distR="1786255" simplePos="0" relativeHeight="62914694" behindDoc="1" locked="0" layoutInCell="1" allowOverlap="1">
            <wp:simplePos x="0" y="0"/>
            <wp:positionH relativeFrom="page">
              <wp:posOffset>2817495</wp:posOffset>
            </wp:positionH>
            <wp:positionV relativeFrom="paragraph">
              <wp:posOffset>54610</wp:posOffset>
            </wp:positionV>
            <wp:extent cx="353695" cy="53657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p>
    <w:p>
      <w:pPr>
        <w:widowControl w:val="0"/>
        <w:spacing w:after="570" w:line="1" w:lineRule="exact"/>
      </w:pPr>
    </w:p>
    <w:p>
      <w:pPr>
        <w:widowControl w:val="0"/>
        <w:spacing w:line="1" w:lineRule="exact"/>
        <w:sectPr>
          <w:footnotePr>
            <w:pos w:val="pageBottom"/>
            <w:numFmt w:val="decimal"/>
            <w:numRestart w:val="continuous"/>
          </w:footnotePr>
          <w:type w:val="continuous"/>
          <w:pgSz w:w="11900" w:h="16840"/>
          <w:pgMar w:top="1105" w:right="536" w:bottom="971" w:left="1106" w:header="0" w:footer="3" w:gutter="0"/>
          <w:cols w:space="720"/>
          <w:noEndnote/>
          <w:rtlGutter w:val="0"/>
          <w:docGrid w:linePitch="360"/>
        </w:sectPr>
      </w:pPr>
    </w:p>
    <w:p>
      <w:pPr>
        <w:pStyle w:val="Style32"/>
        <w:keepNext w:val="0"/>
        <w:keepLines w:val="0"/>
        <w:widowControl w:val="0"/>
        <w:shd w:val="clear" w:color="auto" w:fill="auto"/>
        <w:bidi w:val="0"/>
        <w:spacing w:before="0" w:after="0" w:line="240" w:lineRule="auto"/>
        <w:ind w:left="334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32"/>
        <w:keepNext w:val="0"/>
        <w:keepLines w:val="0"/>
        <w:widowControl w:val="0"/>
        <w:shd w:val="clear" w:color="auto" w:fill="auto"/>
        <w:bidi w:val="0"/>
        <w:spacing w:before="0" w:after="0" w:line="240" w:lineRule="auto"/>
        <w:ind w:left="334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53П90А0421ЕЕ18С746В01Е823Е3291СЗ</w:t>
      </w:r>
    </w:p>
    <w:p>
      <w:pPr>
        <w:pStyle w:val="Style32"/>
        <w:keepNext w:val="0"/>
        <w:keepLines w:val="0"/>
        <w:widowControl w:val="0"/>
        <w:shd w:val="clear" w:color="auto" w:fill="auto"/>
        <w:bidi w:val="0"/>
        <w:spacing w:before="0" w:after="300" w:line="240" w:lineRule="auto"/>
        <w:ind w:left="334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05.09.2024 </w:t>
      </w:r>
      <w:r>
        <w:rPr>
          <w:color w:val="7D7E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05" w:right="4146" w:bottom="1505" w:left="1111" w:header="0" w:footer="3" w:gutter="0"/>
          <w:cols w:space="720"/>
          <w:noEndnote/>
          <w:rtlGutter w:val="0"/>
          <w:docGrid w:linePitch="360"/>
        </w:sectPr>
      </w:pPr>
      <w:r>
        <w:rPr>
          <w:color w:val="000000"/>
          <w:spacing w:val="0"/>
          <w:w w:val="100"/>
          <w:position w:val="0"/>
          <w:shd w:val="clear" w:color="auto" w:fill="auto"/>
          <w:lang w:val="ru-RU" w:eastAsia="ru-RU" w:bidi="ru-RU"/>
        </w:rPr>
        <w:t>Члены комиссии:</w:t>
      </w:r>
    </w:p>
    <w:p>
      <w:pPr>
        <w:pStyle w:val="Style28"/>
        <w:keepNext w:val="0"/>
        <w:keepLines w:val="0"/>
        <w:framePr w:w="2016" w:h="158" w:wrap="none" w:vAnchor="text" w:hAnchor="page" w:x="5106" w:y="65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28"/>
        <w:keepNext w:val="0"/>
        <w:keepLines w:val="0"/>
        <w:framePr w:w="2712" w:h="403" w:wrap="none" w:vAnchor="text" w:hAnchor="page" w:x="5039" w:y="164"/>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4"/>
        <w:keepNext w:val="0"/>
        <w:keepLines w:val="0"/>
        <w:framePr w:w="1627" w:h="398" w:wrap="none" w:vAnchor="text" w:hAnchor="page" w:x="9690"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Ж.В. Кушнер</w:t>
      </w:r>
    </w:p>
    <w:p>
      <w:pPr>
        <w:widowControl w:val="0"/>
        <w:spacing w:line="360" w:lineRule="exact"/>
      </w:pPr>
      <w:r>
        <w:drawing>
          <wp:anchor distT="0" distB="0" distL="0" distR="1786255" simplePos="0" relativeHeight="62914695" behindDoc="1" locked="0" layoutInCell="1" allowOverlap="1">
            <wp:simplePos x="0" y="0"/>
            <wp:positionH relativeFrom="page">
              <wp:posOffset>2784475</wp:posOffset>
            </wp:positionH>
            <wp:positionV relativeFrom="paragraph">
              <wp:posOffset>15240</wp:posOffset>
            </wp:positionV>
            <wp:extent cx="353695" cy="53657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3695" cy="536575"/>
                    </a:xfrm>
                    <a:prstGeom prst="rect"/>
                  </pic:spPr>
                </pic:pic>
              </a:graphicData>
            </a:graphic>
          </wp:anchor>
        </w:drawing>
      </w:r>
    </w:p>
    <w:p>
      <w:pPr>
        <w:widowControl w:val="0"/>
        <w:spacing w:after="503" w:line="1" w:lineRule="exact"/>
      </w:pPr>
    </w:p>
    <w:p>
      <w:pPr>
        <w:widowControl w:val="0"/>
        <w:spacing w:line="1" w:lineRule="exact"/>
        <w:sectPr>
          <w:footnotePr>
            <w:pos w:val="pageBottom"/>
            <w:numFmt w:val="decimal"/>
            <w:numRestart w:val="continuous"/>
          </w:footnotePr>
          <w:type w:val="continuous"/>
          <w:pgSz w:w="11900" w:h="16840"/>
          <w:pgMar w:top="1105" w:right="536" w:bottom="971" w:left="1106" w:header="0" w:footer="3" w:gutter="0"/>
          <w:cols w:space="720"/>
          <w:noEndnote/>
          <w:rtlGutter w:val="0"/>
          <w:docGrid w:linePitch="360"/>
        </w:sectPr>
      </w:pPr>
    </w:p>
    <w:p>
      <w:pPr>
        <w:pStyle w:val="Style3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Кушнер Жанна Владимировна</w:t>
      </w:r>
    </w:p>
    <w:p>
      <w:pPr>
        <w:pStyle w:val="Style32"/>
        <w:keepNext w:val="0"/>
        <w:keepLines w:val="0"/>
        <w:widowControl w:val="0"/>
        <w:shd w:val="clear" w:color="auto" w:fill="auto"/>
        <w:bidi w:val="0"/>
        <w:spacing w:before="0" w:after="0" w:line="240" w:lineRule="auto"/>
        <w:ind w:left="0"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13ЭЗА529О0С1</w:t>
      </w:r>
      <w:r>
        <w:rPr>
          <w:color w:val="393939"/>
          <w:spacing w:val="0"/>
          <w:w w:val="100"/>
          <w:position w:val="0"/>
          <w:shd w:val="clear" w:color="auto" w:fill="auto"/>
          <w:lang w:val="ru-RU" w:eastAsia="ru-RU" w:bidi="ru-RU"/>
        </w:rPr>
        <w:t>0636543ЕРВЕ625АВ587А</w:t>
      </w:r>
    </w:p>
    <w:p>
      <w:pPr>
        <w:pStyle w:val="Style3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05" w:right="4165" w:bottom="1505" w:left="4399"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01.07.2024 по 24.09.2025</w:t>
      </w: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1" w:left="0" w:header="0" w:footer="3" w:gutter="0"/>
          <w:cols w:space="720"/>
          <w:noEndnote/>
          <w:rtlGutter w:val="0"/>
          <w:docGrid w:linePitch="360"/>
        </w:sectPr>
      </w:pPr>
    </w:p>
    <w:p>
      <w:pPr>
        <w:pStyle w:val="Style14"/>
        <w:keepNext w:val="0"/>
        <w:keepLines w:val="0"/>
        <w:framePr w:w="2011" w:h="374" w:wrap="none" w:vAnchor="text" w:hAnchor="page" w:x="931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А.А. Михайлова</w:t>
      </w:r>
    </w:p>
    <w:p>
      <w:pPr>
        <w:pStyle w:val="Style28"/>
        <w:keepNext w:val="0"/>
        <w:keepLines w:val="0"/>
        <w:framePr w:w="2021" w:h="163" w:wrap="none" w:vAnchor="text" w:hAnchor="page" w:x="4913" w:y="1066"/>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7E7E7"/>
          <w:spacing w:val="0"/>
          <w:w w:val="100"/>
          <w:position w:val="0"/>
          <w:sz w:val="12"/>
          <w:szCs w:val="12"/>
          <w:shd w:val="clear" w:color="auto" w:fill="auto"/>
          <w:lang w:val="ru-RU" w:eastAsia="ru-RU" w:bidi="ru-RU"/>
        </w:rPr>
        <w:t>ЭП</w:t>
      </w:r>
    </w:p>
    <w:p>
      <w:pPr>
        <w:pStyle w:val="Style28"/>
        <w:keepNext w:val="0"/>
        <w:keepLines w:val="0"/>
        <w:framePr w:w="2717" w:h="403" w:wrap="none" w:vAnchor="text" w:hAnchor="page" w:x="4841" w:y="577"/>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widowControl w:val="0"/>
        <w:spacing w:line="360" w:lineRule="exact"/>
      </w:pPr>
      <w:r>
        <w:drawing>
          <wp:anchor distT="0" distB="0" distL="0" distR="1789430" simplePos="0" relativeHeight="62914696" behindDoc="1" locked="0" layoutInCell="1" allowOverlap="1">
            <wp:simplePos x="0" y="0"/>
            <wp:positionH relativeFrom="page">
              <wp:posOffset>2622550</wp:posOffset>
            </wp:positionH>
            <wp:positionV relativeFrom="paragraph">
              <wp:posOffset>240665</wp:posOffset>
            </wp:positionV>
            <wp:extent cx="389890" cy="57277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89890" cy="572770"/>
                    </a:xfrm>
                    <a:prstGeom prst="rect"/>
                  </pic:spPr>
                </pic:pic>
              </a:graphicData>
            </a:graphic>
          </wp:anchor>
        </w:drawing>
      </w:r>
    </w:p>
    <w:p>
      <w:pPr>
        <w:widowControl w:val="0"/>
        <w:spacing w:line="360" w:lineRule="exact"/>
      </w:pPr>
    </w:p>
    <w:p>
      <w:pPr>
        <w:widowControl w:val="0"/>
        <w:spacing w:after="556" w:line="1" w:lineRule="exact"/>
      </w:pPr>
    </w:p>
    <w:p>
      <w:pPr>
        <w:widowControl w:val="0"/>
        <w:spacing w:line="1" w:lineRule="exact"/>
        <w:sectPr>
          <w:footnotePr>
            <w:pos w:val="pageBottom"/>
            <w:numFmt w:val="decimal"/>
            <w:numRestart w:val="continuous"/>
          </w:footnotePr>
          <w:type w:val="continuous"/>
          <w:pgSz w:w="11900" w:h="16840"/>
          <w:pgMar w:top="1105" w:right="536" w:bottom="971" w:left="1106" w:header="0" w:footer="3" w:gutter="0"/>
          <w:cols w:space="720"/>
          <w:noEndnote/>
          <w:rtlGutter w:val="0"/>
          <w:docGrid w:linePitch="360"/>
        </w:sectPr>
      </w:pPr>
    </w:p>
    <w:p>
      <w:pPr>
        <w:pStyle w:val="Style32"/>
        <w:keepNext w:val="0"/>
        <w:keepLines w:val="0"/>
        <w:widowControl w:val="0"/>
        <w:shd w:val="clear" w:color="auto" w:fill="auto"/>
        <w:bidi w:val="0"/>
        <w:spacing w:before="0" w:after="0" w:line="240" w:lineRule="auto"/>
        <w:ind w:left="0" w:right="0" w:firstLine="0"/>
        <w:jc w:val="left"/>
        <w:rPr>
          <w:sz w:val="11"/>
          <w:szCs w:val="11"/>
        </w:rPr>
      </w:pPr>
      <w:r>
        <w:rPr>
          <w:color w:val="7D7E8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32"/>
        <w:keepNext w:val="0"/>
        <w:keepLines w:val="0"/>
        <w:widowControl w:val="0"/>
        <w:shd w:val="clear" w:color="auto" w:fill="auto"/>
        <w:bidi w:val="0"/>
        <w:spacing w:before="0" w:after="0" w:line="240" w:lineRule="auto"/>
        <w:ind w:left="0"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00СЕ777383994ВЗВАО5949967ЕАВ12АЕОЕ</w:t>
      </w:r>
    </w:p>
    <w:p>
      <w:pPr>
        <w:pStyle w:val="Style3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05" w:right="4247" w:bottom="1505" w:left="4207"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39393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1" w:left="0" w:header="0" w:footer="3" w:gutter="0"/>
          <w:cols w:space="720"/>
          <w:noEndnote/>
          <w:rtlGutter w:val="0"/>
          <w:docGrid w:linePitch="360"/>
        </w:sectPr>
      </w:pPr>
    </w:p>
    <w:p>
      <w:pPr>
        <w:pStyle w:val="Style2"/>
        <w:keepNext w:val="0"/>
        <w:keepLines w:val="0"/>
        <w:framePr w:w="1930" w:h="566" w:wrap="none" w:vAnchor="text" w:hAnchor="page" w:x="110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Исп.Кушнер Ж.В.</w:t>
      </w:r>
    </w:p>
    <w:p>
      <w:pPr>
        <w:pStyle w:val="Style2"/>
        <w:keepNext w:val="0"/>
        <w:keepLines w:val="0"/>
        <w:framePr w:w="1930" w:h="566" w:wrap="none" w:vAnchor="text" w:hAnchor="page" w:x="110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тел.8(4212) 32 60 54</w:t>
      </w:r>
    </w:p>
    <w:p>
      <w:pPr>
        <w:widowControl w:val="0"/>
        <w:spacing w:after="565" w:line="1" w:lineRule="exact"/>
      </w:pPr>
    </w:p>
    <w:p>
      <w:pPr>
        <w:widowControl w:val="0"/>
        <w:spacing w:line="1" w:lineRule="exact"/>
      </w:pPr>
    </w:p>
    <w:sectPr>
      <w:footnotePr>
        <w:pos w:val="pageBottom"/>
        <w:numFmt w:val="decimal"/>
        <w:numRestart w:val="continuous"/>
      </w:footnotePr>
      <w:type w:val="continuous"/>
      <w:pgSz w:w="11900" w:h="16840"/>
      <w:pgMar w:top="1105" w:right="536" w:bottom="9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10013315</wp:posOffset>
              </wp:positionV>
              <wp:extent cx="6470650" cy="106680"/>
              <wp:wrapNone/>
              <wp:docPr id="7" name="Shape 7"/>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7"/>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2024-12310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3" type="#_x0000_t202" style="position:absolute;margin-left:56.700000000000003pt;margin-top:788.45000000000005pt;width:509.5pt;height:8.4000000000000004pt;z-index:-188744063;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2024-12310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2024-12310</w:t>
                          </w:r>
                        </w:p>
                      </w:txbxContent>
                    </wps:txbx>
                    <wps:bodyPr wrap="none" lIns="0" tIns="0" rIns="0" bIns="0">
                      <a:spAutoFit/>
                    </wps:bodyPr>
                  </wps:wsp>
                </a:graphicData>
              </a:graphic>
            </wp:anchor>
          </w:drawing>
        </mc:Choice>
        <mc:Fallback>
          <w:pict>
            <v:shape id="_x0000_s1035"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6)_"/>
    <w:basedOn w:val="DefaultParagraphFont"/>
    <w:link w:val="Style10"/>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Основной текст (5)_"/>
    <w:basedOn w:val="DefaultParagraphFont"/>
    <w:link w:val="Style24"/>
    <w:rPr>
      <w:rFonts w:ascii="Arial" w:eastAsia="Arial" w:hAnsi="Arial" w:cs="Arial"/>
      <w:b w:val="0"/>
      <w:bCs w:val="0"/>
      <w:i w:val="0"/>
      <w:iCs w:val="0"/>
      <w:smallCaps w:val="0"/>
      <w:strike w:val="0"/>
      <w:sz w:val="48"/>
      <w:szCs w:val="48"/>
      <w:u w:val="none"/>
    </w:rPr>
  </w:style>
  <w:style w:type="character" w:customStyle="1" w:styleId="CharStyle29">
    <w:name w:val="Подпись к картинке_"/>
    <w:basedOn w:val="DefaultParagraphFont"/>
    <w:link w:val="Style28"/>
    <w:rPr>
      <w:rFonts w:ascii="Georgia" w:eastAsia="Georgia" w:hAnsi="Georgia" w:cs="Georgia"/>
      <w:b w:val="0"/>
      <w:bCs w:val="0"/>
      <w:i w:val="0"/>
      <w:iCs w:val="0"/>
      <w:smallCaps w:val="0"/>
      <w:strike w:val="0"/>
      <w:color w:val="242424"/>
      <w:sz w:val="11"/>
      <w:szCs w:val="11"/>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545454"/>
      <w:sz w:val="12"/>
      <w:szCs w:val="12"/>
      <w:u w:val="none"/>
    </w:rPr>
  </w:style>
  <w:style w:type="paragraph" w:customStyle="1" w:styleId="Style2">
    <w:name w:val="Основной текст (4)"/>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Основной текст (3)"/>
    <w:basedOn w:val="Normal"/>
    <w:link w:val="CharStyle6"/>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6)"/>
    <w:basedOn w:val="Normal"/>
    <w:link w:val="CharStyle11"/>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Заголовок №1"/>
    <w:basedOn w:val="Normal"/>
    <w:link w:val="CharStyle21"/>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Основной текст (5)"/>
    <w:basedOn w:val="Normal"/>
    <w:link w:val="CharStyle25"/>
    <w:pPr>
      <w:widowControl w:val="0"/>
      <w:shd w:val="clear" w:color="auto" w:fill="auto"/>
      <w:spacing w:after="320"/>
    </w:pPr>
    <w:rPr>
      <w:rFonts w:ascii="Arial" w:eastAsia="Arial" w:hAnsi="Arial" w:cs="Arial"/>
      <w:b w:val="0"/>
      <w:bCs w:val="0"/>
      <w:i w:val="0"/>
      <w:iCs w:val="0"/>
      <w:smallCaps w:val="0"/>
      <w:strike w:val="0"/>
      <w:sz w:val="48"/>
      <w:szCs w:val="48"/>
      <w:u w:val="none"/>
    </w:rPr>
  </w:style>
  <w:style w:type="paragraph" w:customStyle="1" w:styleId="Style28">
    <w:name w:val="Подпись к картинке"/>
    <w:basedOn w:val="Normal"/>
    <w:link w:val="CharStyle29"/>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32">
    <w:name w:val="Основной текст (2)"/>
    <w:basedOn w:val="Normal"/>
    <w:link w:val="CharStyle33"/>
    <w:pPr>
      <w:widowControl w:val="0"/>
      <w:shd w:val="clear" w:color="auto" w:fill="auto"/>
    </w:pPr>
    <w:rPr>
      <w:rFonts w:ascii="Arial" w:eastAsia="Arial" w:hAnsi="Arial" w:cs="Arial"/>
      <w:b w:val="0"/>
      <w:bCs w:val="0"/>
      <w:i w:val="0"/>
      <w:iCs w:val="0"/>
      <w:smallCaps w:val="0"/>
      <w:strike w:val="0"/>
      <w:color w:val="54545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