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2899" w:h="451" w:wrap="none" w:hAnchor="page" w:x="1765" w:y="251"/>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r>
    </w:p>
    <w:p>
      <w:pPr>
        <w:pStyle w:val="Style2"/>
        <w:keepNext w:val="0"/>
        <w:keepLines w:val="0"/>
        <w:framePr w:w="2899" w:h="451" w:wrap="none" w:hAnchor="page" w:x="1765" w:y="251"/>
        <w:widowControl w:val="0"/>
        <w:shd w:val="clear" w:color="auto" w:fill="auto"/>
        <w:bidi w:val="0"/>
        <w:spacing w:before="0" w:after="0" w:line="240" w:lineRule="auto"/>
        <w:ind w:left="0" w:right="0" w:firstLine="0"/>
        <w:jc w:val="center"/>
        <w:rPr>
          <w:sz w:val="17"/>
          <w:szCs w:val="17"/>
        </w:rPr>
      </w:pPr>
      <w:r>
        <w:rPr>
          <w:b/>
          <w:bCs/>
          <w:spacing w:val="0"/>
          <w:w w:val="100"/>
          <w:position w:val="0"/>
          <w:sz w:val="17"/>
          <w:szCs w:val="17"/>
          <w:shd w:val="clear" w:color="auto" w:fill="auto"/>
          <w:lang w:val="ru-RU" w:eastAsia="ru-RU" w:bidi="ru-RU"/>
        </w:rPr>
        <w:t>АНТИМОНОПОЛЬНАЯ СЛУЖБА</w:t>
      </w:r>
    </w:p>
    <w:p>
      <w:pPr>
        <w:pStyle w:val="Style5"/>
        <w:keepNext w:val="0"/>
        <w:keepLines w:val="0"/>
        <w:framePr w:w="3542" w:h="701" w:wrap="none" w:hAnchor="page" w:x="1453" w:y="855"/>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Красноярскому краю</w:t>
      </w:r>
    </w:p>
    <w:p>
      <w:pPr>
        <w:pStyle w:val="Style7"/>
        <w:keepNext w:val="0"/>
        <w:keepLines w:val="0"/>
        <w:framePr w:w="4056" w:h="1171" w:wrap="none" w:hAnchor="page" w:x="6406" w:y="1"/>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«Норд-фарм» ул. Тюменская, д. 5/15, стр. 1, г. Москва, 107370</w:t>
      </w:r>
    </w:p>
    <w:p>
      <w:pPr>
        <w:pStyle w:val="Style7"/>
        <w:keepNext w:val="0"/>
        <w:keepLines w:val="0"/>
        <w:framePr w:w="4056" w:h="1171" w:wrap="none" w:hAnchor="page" w:x="6406" w:y="1"/>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та11@погё-Гагт.ги; хаках@погд-Гагт.ги</w:t>
      </w:r>
    </w:p>
    <w:p>
      <w:pPr>
        <w:pStyle w:val="Style2"/>
        <w:keepNext w:val="0"/>
        <w:keepLines w:val="0"/>
        <w:framePr w:w="2976" w:h="653" w:wrap="none" w:hAnchor="page" w:x="1726" w:y="1729"/>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Мира, 81 д, г. Красноярск, 660017</w:t>
        <w:br/>
        <w:t>тел. (391) 211-00-00, факс (391) 211-01-14</w:t>
        <w:br/>
        <w:t>е-таП: 1о24@Й8.§оу.ги</w:t>
      </w:r>
    </w:p>
    <w:p>
      <w:pPr>
        <w:pStyle w:val="Style7"/>
        <w:keepNext w:val="0"/>
        <w:keepLines w:val="0"/>
        <w:framePr w:w="4262" w:h="1171" w:wrap="none" w:hAnchor="page" w:x="6406" w:y="1383"/>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КГБУЗ «Дивногорская межрайонная больница» ул Бочкина, 45, г. Дивногорск, 663091 тападег-дсдЬ@таП.ги; дгупоЬиЬ@таП.ш</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93" w:line="1" w:lineRule="exact"/>
      </w:pPr>
    </w:p>
    <w:p>
      <w:pPr>
        <w:widowControl w:val="0"/>
        <w:spacing w:line="1" w:lineRule="exact"/>
        <w:sectPr>
          <w:footerReference w:type="default" r:id="rId5"/>
          <w:footerReference w:type="first" r:id="rId6"/>
          <w:footnotePr>
            <w:pos w:val="pageBottom"/>
            <w:numFmt w:val="decimal"/>
            <w:numRestart w:val="continuous"/>
          </w:footnotePr>
          <w:pgSz w:w="11900" w:h="16840"/>
          <w:pgMar w:top="1162" w:right="546" w:bottom="1216" w:left="1097" w:header="0" w:footer="3" w:gutter="0"/>
          <w:pgNumType w:start="1"/>
          <w:cols w:space="720"/>
          <w:noEndnote/>
          <w:titlePg/>
          <w:rtlGutter w:val="0"/>
          <w:docGrid w:linePitch="360"/>
        </w:sectPr>
      </w:pPr>
    </w:p>
    <w:p>
      <w:pPr>
        <w:pStyle w:val="Style7"/>
        <w:keepNext w:val="0"/>
        <w:keepLines w:val="0"/>
        <w:widowControl w:val="0"/>
        <w:shd w:val="clear" w:color="auto" w:fill="auto"/>
        <w:bidi w:val="0"/>
        <w:spacing w:before="0" w:after="0" w:line="240" w:lineRule="auto"/>
        <w:ind w:left="4620" w:right="0" w:firstLine="700"/>
        <w:jc w:val="left"/>
      </w:pPr>
      <w:r>
        <mc:AlternateContent>
          <mc:Choice Requires="wps">
            <w:drawing>
              <wp:anchor distT="0" distB="0" distL="114300" distR="114300" simplePos="0" relativeHeight="125829378" behindDoc="0" locked="0" layoutInCell="1" allowOverlap="1">
                <wp:simplePos x="0" y="0"/>
                <wp:positionH relativeFrom="page">
                  <wp:posOffset>723900</wp:posOffset>
                </wp:positionH>
                <wp:positionV relativeFrom="paragraph">
                  <wp:posOffset>292100</wp:posOffset>
                </wp:positionV>
                <wp:extent cx="307975" cy="152400"/>
                <wp:wrapSquare wrapText="right"/>
                <wp:docPr id="5" name="Shape 5"/>
                <a:graphic xmlns:a="http://schemas.openxmlformats.org/drawingml/2006/main">
                  <a:graphicData uri="http://schemas.microsoft.com/office/word/2010/wordprocessingShape">
                    <wps:wsp>
                      <wps:cNvSpPr txBox="1"/>
                      <wps:spPr>
                        <a:xfrm>
                          <a:ext cx="307975" cy="15240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pPr>
                            <w:r>
                              <w:rPr>
                                <w:b w:val="0"/>
                                <w:bCs w:val="0"/>
                                <w:spacing w:val="0"/>
                                <w:w w:val="100"/>
                                <w:position w:val="0"/>
                                <w:sz w:val="19"/>
                                <w:szCs w:val="19"/>
                                <w:shd w:val="clear" w:color="auto" w:fill="auto"/>
                                <w:lang w:val="ru-RU" w:eastAsia="ru-RU" w:bidi="ru-RU"/>
                              </w:rPr>
                              <w:t>На№</w:t>
                            </w:r>
                          </w:p>
                        </w:txbxContent>
                      </wps:txbx>
                      <wps:bodyPr wrap="none" lIns="0" tIns="0" rIns="0" bIns="0">
                        <a:noAutoFit/>
                      </wps:bodyPr>
                    </wps:wsp>
                  </a:graphicData>
                </a:graphic>
              </wp:anchor>
            </w:drawing>
          </mc:Choice>
          <mc:Fallback>
            <w:pict>
              <v:shape id="_x0000_s1031" type="#_x0000_t202" style="position:absolute;margin-left:57.pt;margin-top:23.pt;width:24.25pt;height:12.pt;z-index:-125829375;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pPr>
                      <w:r>
                        <w:rPr>
                          <w:b w:val="0"/>
                          <w:bCs w:val="0"/>
                          <w:spacing w:val="0"/>
                          <w:w w:val="100"/>
                          <w:position w:val="0"/>
                          <w:sz w:val="19"/>
                          <w:szCs w:val="19"/>
                          <w:shd w:val="clear" w:color="auto" w:fill="auto"/>
                          <w:lang w:val="ru-RU" w:eastAsia="ru-RU" w:bidi="ru-RU"/>
                        </w:rPr>
                        <w:t>На№</w:t>
                      </w:r>
                    </w:p>
                  </w:txbxContent>
                </v:textbox>
                <w10:wrap type="square" side="right" anchorx="page"/>
              </v:shape>
            </w:pict>
          </mc:Fallback>
        </mc:AlternateContent>
      </w:r>
      <w:r>
        <w:rPr>
          <w:color w:val="000000"/>
          <w:spacing w:val="0"/>
          <w:w w:val="100"/>
          <w:position w:val="0"/>
          <w:sz w:val="24"/>
          <w:szCs w:val="24"/>
          <w:shd w:val="clear" w:color="auto" w:fill="auto"/>
          <w:lang w:val="ru-RU" w:eastAsia="ru-RU" w:bidi="ru-RU"/>
        </w:rPr>
        <w:t>АО «Единая электронная торговая площадка» ул. Кожевническая, 14, стр. 5, г. Москва, 115114</w:t>
      </w:r>
    </w:p>
    <w:p>
      <w:pPr>
        <w:pStyle w:val="Style7"/>
        <w:keepNext w:val="0"/>
        <w:keepLines w:val="0"/>
        <w:widowControl w:val="0"/>
        <w:shd w:val="clear" w:color="auto" w:fill="auto"/>
        <w:bidi w:val="0"/>
        <w:spacing w:before="0" w:after="1340" w:line="240" w:lineRule="auto"/>
        <w:ind w:left="5320" w:right="0" w:firstLine="0"/>
        <w:jc w:val="left"/>
      </w:pPr>
      <w:r>
        <w:rPr>
          <w:color w:val="000000"/>
          <w:spacing w:val="0"/>
          <w:w w:val="100"/>
          <w:position w:val="0"/>
          <w:sz w:val="24"/>
          <w:szCs w:val="24"/>
          <w:shd w:val="clear" w:color="auto" w:fill="auto"/>
          <w:lang w:val="ru-RU" w:eastAsia="ru-RU" w:bidi="ru-RU"/>
        </w:rPr>
        <w:t>ко@гозе11огд.ш; тГо@гозе11огд.ш</w:t>
      </w:r>
    </w:p>
    <w:p>
      <w:pPr>
        <w:pStyle w:val="Style7"/>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Решение № 024/06/106-3182/2024</w:t>
      </w:r>
    </w:p>
    <w:p>
      <w:pPr>
        <w:pStyle w:val="Style7"/>
        <w:keepNext w:val="0"/>
        <w:keepLines w:val="0"/>
        <w:widowControl w:val="0"/>
        <w:shd w:val="clear" w:color="auto" w:fill="auto"/>
        <w:bidi w:val="0"/>
        <w:spacing w:before="0" w:after="240" w:line="240" w:lineRule="auto"/>
        <w:ind w:left="0" w:right="0" w:firstLine="0"/>
        <w:jc w:val="left"/>
      </w:pPr>
      <w:r>
        <mc:AlternateContent>
          <mc:Choice Requires="wps">
            <w:drawing>
              <wp:anchor distT="0" distB="0" distL="114300" distR="114300" simplePos="0" relativeHeight="125829380" behindDoc="0" locked="0" layoutInCell="1" allowOverlap="1">
                <wp:simplePos x="0" y="0"/>
                <wp:positionH relativeFrom="page">
                  <wp:posOffset>6276975</wp:posOffset>
                </wp:positionH>
                <wp:positionV relativeFrom="paragraph">
                  <wp:posOffset>12700</wp:posOffset>
                </wp:positionV>
                <wp:extent cx="905510" cy="216535"/>
                <wp:wrapSquare wrapText="left"/>
                <wp:docPr id="7" name="Shape 7"/>
                <a:graphic xmlns:a="http://schemas.openxmlformats.org/drawingml/2006/main">
                  <a:graphicData uri="http://schemas.microsoft.com/office/word/2010/wordprocessingShape">
                    <wps:wsp>
                      <wps:cNvSpPr txBox="1"/>
                      <wps:spPr>
                        <a:xfrm>
                          <a:ext cx="905510" cy="21653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Красноярск</w:t>
                            </w:r>
                          </w:p>
                        </w:txbxContent>
                      </wps:txbx>
                      <wps:bodyPr wrap="none" lIns="0" tIns="0" rIns="0" bIns="0">
                        <a:noAutoFit/>
                      </wps:bodyPr>
                    </wps:wsp>
                  </a:graphicData>
                </a:graphic>
              </wp:anchor>
            </w:drawing>
          </mc:Choice>
          <mc:Fallback>
            <w:pict>
              <v:shape id="_x0000_s1033" type="#_x0000_t202" style="position:absolute;margin-left:494.25pt;margin-top:1.pt;width:71.299999999999997pt;height:17.050000000000001pt;z-index:-125829373;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г. Красноярск</w:t>
                      </w:r>
                    </w:p>
                  </w:txbxContent>
                </v:textbox>
                <w10:wrap type="square" side="left" anchorx="page"/>
              </v:shape>
            </w:pict>
          </mc:Fallback>
        </mc:AlternateContent>
      </w:r>
      <w:r>
        <w:rPr>
          <w:color w:val="000000"/>
          <w:spacing w:val="0"/>
          <w:w w:val="100"/>
          <w:position w:val="0"/>
          <w:sz w:val="24"/>
          <w:szCs w:val="24"/>
          <w:shd w:val="clear" w:color="auto" w:fill="auto"/>
          <w:lang w:val="ru-RU" w:eastAsia="ru-RU" w:bidi="ru-RU"/>
        </w:rPr>
        <w:t>15 октября 2024 года</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Комиссия Красноярского УФАС России по контролю в сфере закупок в составе: Председатель Комиссии - заместитель руководителя, М.А. Дударева, члены Комиссии - начальник отдела, М.А. Грицай, заместитель начальника отдела, Е.А. Шмыгина (далее - Комиссия), рассмотрев жалобу ООО «Норд-фарм» (далее - податель жалобы) на действия комиссии по осуществлению закупок заказчика - Краевого государственного бюджетного учреждения здравоохранения «Дивногорская межрайонная больница» (далее - аукционная комиссия, заказчик) при проведении аукциона в электронной форме «Поставка лекарственных препаратов (Гепарин натрия)» (далее - электронный аукцион, закупка), извещение № 0319300012424000282 на электронной торговой площадке АО «Единая электронная торговая площадка» (далее - оператор электронной площадки), установила следующее.</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Существо жалобы: нарушение аукционной комиссией порядка рассмотрения заявок участников электронного аукциона, предусмотренного Федеральным законом от 05.04.2013 № 44- 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Жалоба подана в Красноярское УФАС России в срок, установленный частью 2 статьи 105 Закона о контрактной системе, соответствовала требованиям статьи 105 указанного закона, в связи с чем подлежала принятию к рассмотрению.</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адреса заказчика, подателя жалобы, оператора электронной площадки было направлено уведомление о содержании жалобы с информацией о месте и времени ее рассмотрения.</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Явку своих представителей на заседание Комиссии по рассмотрению жалобы по существу податель жалобы, заказчик не обеспечили, заказчик ходатайствовал о рассмотрении жалобы в отсутствие его представителя.</w:t>
      </w:r>
    </w:p>
    <w:p>
      <w:pPr>
        <w:pStyle w:val="Style7"/>
        <w:keepNext w:val="0"/>
        <w:keepLines w:val="0"/>
        <w:widowControl w:val="0"/>
        <w:shd w:val="clear" w:color="auto" w:fill="auto"/>
        <w:bidi w:val="0"/>
        <w:spacing w:before="0" w:after="240" w:line="240" w:lineRule="auto"/>
        <w:ind w:left="0" w:right="0" w:firstLine="700"/>
        <w:jc w:val="both"/>
      </w:pPr>
      <w:r>
        <w:rPr>
          <w:color w:val="000000"/>
          <w:spacing w:val="0"/>
          <w:w w:val="100"/>
          <w:position w:val="0"/>
          <w:sz w:val="24"/>
          <w:szCs w:val="24"/>
          <w:shd w:val="clear" w:color="auto" w:fill="auto"/>
          <w:lang w:val="ru-RU" w:eastAsia="ru-RU" w:bidi="ru-RU"/>
        </w:rPr>
        <w:t>Из доводов жалобы следует, что аукционной комиссии допущены нарушения, выразившиеся в неприменении Приказа Министерства финансов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w:t>
      </w:r>
    </w:p>
    <w:p>
      <w:pPr>
        <w:pStyle w:val="Style13"/>
        <w:keepNext/>
        <w:keepLines/>
        <w:widowControl w:val="0"/>
        <w:shd w:val="clear" w:color="auto" w:fill="auto"/>
        <w:bidi w:val="0"/>
        <w:spacing w:before="0" w:after="0" w:line="240" w:lineRule="auto"/>
        <w:ind w:left="0" w:right="0" w:firstLine="0"/>
        <w:jc w:val="left"/>
        <w:rPr>
          <w:sz w:val="24"/>
          <w:szCs w:val="24"/>
        </w:rPr>
      </w:pPr>
      <w:bookmarkStart w:id="0" w:name="bookmark0"/>
      <w:r>
        <w:rPr>
          <w:color w:val="000000"/>
          <w:spacing w:val="0"/>
          <w:w w:val="100"/>
          <w:position w:val="0"/>
          <w:sz w:val="32"/>
          <w:szCs w:val="32"/>
          <w:shd w:val="clear" w:color="auto" w:fill="auto"/>
          <w:lang w:val="ru-RU" w:eastAsia="ru-RU" w:bidi="ru-RU"/>
        </w:rPr>
        <w:t>111111111111111111111111</w:t>
      </w:r>
      <w:bookmarkEnd w:id="0"/>
      <w:r>
        <w:rPr>
          <w:color w:val="000000"/>
          <w:spacing w:val="0"/>
          <w:w w:val="100"/>
          <w:position w:val="0"/>
          <w:sz w:val="32"/>
          <w:szCs w:val="32"/>
          <w:shd w:val="clear" w:color="auto" w:fill="auto"/>
          <w:lang w:val="ru-RU" w:eastAsia="ru-RU" w:bidi="ru-RU"/>
        </w:rPr>
        <w:t xml:space="preserve"> </w:t>
      </w:r>
      <w:r>
        <w:rPr>
          <w:rStyle w:val="CharStyle8"/>
        </w:rPr>
        <w:t>нужд» (далее - Приказ № 126н).</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Податель жалобы полагает, что при определении победителя электронного аукционе не был применен Приказ №126н. При этом им в составе заявки представлен полный комплект документов в соответствии с требованиями Постановления Правительства РФ от 30.11.2015 № 1289, Приказа №126н, в том числе: регистрационное удостоверение, сертификат о происхождении товара по форме СТ-1, сертификат соответствия требованиям правил надлежащей производственной практики Евразийского экономического союза (ОМР), документ, содержащий сведения о стадиях технологического производства лекарственного средства, осуществляемых на территории Евразийского экономического союза (СП). В СП указана информация о том, что методом получения фармацевтической субстанции является выделение фармацевтической субстанции из источников животного происхождения. В то же время у субстанций, получаемых методами выделения источников биологического, животного или растительного происхождения «Стадии производства до получения молекулы» указание информации в пункте 2.А.1. не предусмотрено.</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Кроме того, согласно Письма Министерства промышленности и торговли от 21.02.2022 № ОВ-13429/19 указано, что для методов получения фармацевтической субстанции в виде выделения из источников минерального, биологического, животного или растительного происхождения подтверждением всех стадий технологического процесса производства на территории Союза является указание в документе СП стадий технологического процесса начиная с подпункта 2.А.2.</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Податель жалобы считает, что при указанных обстоятельствах подлежал применению Приказ №126н, в части заключения контракта с подателем жалобы с предоставлением преференции.</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адрес Красноярского УФАС России заказчиком были представлены письменные возражения, сообщающие о том, что аукционной комиссией заявки были рассмотрены в соответствии с требованиями Закона о контрактной системе, Постановления Правительства Российской Федерации от 30.11.2015 № 1289.</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проанализировав нормы позитивного права, регулирующие рассматриваемые правоотношения,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связи с возникшей потребностью заказчиком были совершены действия по определению поставщика (подрядчика, исполнителя) лекарственного препарата Гепарин натрия.</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 xml:space="preserve">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w:t>
      </w:r>
      <w:r>
        <w:rPr>
          <w:color w:val="000000"/>
          <w:spacing w:val="0"/>
          <w:w w:val="100"/>
          <w:position w:val="0"/>
          <w:sz w:val="24"/>
          <w:szCs w:val="24"/>
          <w:shd w:val="clear" w:color="auto" w:fill="auto"/>
          <w:lang w:val="ru-RU" w:eastAsia="ru-RU" w:bidi="ru-RU"/>
        </w:rPr>
        <w:t>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силу части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статьи 14 Закона о контрактной системе.</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Согласно пункту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 (часть 2 статьи 42 Закона о контрактной системе).</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Изучив содержание извещения о проведении электронного аукциона, Комиссия установила, что, исходя из раздела «Информация об объекте закупки» структурированной формы извещения, электронного документа «Техническое задание», фактической потребностью заказчика является поставка лекарственного препарата (Гепарин натрия).</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Постановлением Правительства РФ от 30.11.2015 № 1289 установлены ограничения и условия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 1289).</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Закупаемый лекарственный препарат (Гепарин натрия) включен в перечень жизненно необходимых и важнейших лекарственных препаратов, а также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 утвержденный Распоряжением Правительства Российской Федерации от 12.10.2019 № 2406-р.</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Приказом Министерства финансов России от 04.06.2018 № 126н установлены условия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Извещение о проведении закупки содержит как ограничение допуска и условия допуска в соответствии с Постановлением № 1289, так и условия допуска согласно приказу № 126н.</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пункте 1 Постановления № 1289 установлено, что для целей осуществления закупок лекарственного 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и Донецкой Народной Республики, Луганской Народной Республики),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или Донецкая</w:t>
      </w:r>
    </w:p>
    <w:p>
      <w:pPr>
        <w:pStyle w:val="Style7"/>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Народная Республика, Луганская Народная Республика,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7"/>
        <w:keepNext w:val="0"/>
        <w:keepLines w:val="0"/>
        <w:widowControl w:val="0"/>
        <w:numPr>
          <w:ilvl w:val="0"/>
          <w:numId w:val="1"/>
        </w:numPr>
        <w:shd w:val="clear" w:color="auto" w:fill="auto"/>
        <w:tabs>
          <w:tab w:pos="884"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 и (или) Донецкая Народная Республика, Луганская Народная Республика;</w:t>
      </w:r>
    </w:p>
    <w:p>
      <w:pPr>
        <w:pStyle w:val="Style7"/>
        <w:keepNext w:val="0"/>
        <w:keepLines w:val="0"/>
        <w:widowControl w:val="0"/>
        <w:numPr>
          <w:ilvl w:val="0"/>
          <w:numId w:val="1"/>
        </w:numPr>
        <w:shd w:val="clear" w:color="auto" w:fill="auto"/>
        <w:tabs>
          <w:tab w:pos="889"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предложений).</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Согласно пункту 1(1) Постановления № 1289 в случае если после отклонения заявок (окончательных предложений) в порядке, установленном пунктом 1 Постановления № 1289, 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пункте 1(2) Постановления № 1289 установлено, что подтверждением соответствия лекарственного препарата и фармацевтической субстанции требованиям, указанным в пункте 1(1) Постановления № 1289, является декларирование участником закупки в заявке (окончательном предложении) сведений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утвержденных Решением Совета Евразийской экономической комиссии от 03.11.2016 № 77 «Об утверждении Правил надлежащей производственной практики Евразийского экономического союза», или Правил надлежащей производственной практики, утвержденных Министерством промышленности и торговли Российской Федерации в соответствии с частью 1 статьи 45 Федерального закона «Об обращении лекарственных средств»,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Согласно пункту 2 Постановления № 1289 подтверждением страны происхождения лекарственного препарата является один из следующих документов:</w:t>
      </w:r>
    </w:p>
    <w:p>
      <w:pPr>
        <w:pStyle w:val="Style7"/>
        <w:keepNext w:val="0"/>
        <w:keepLines w:val="0"/>
        <w:widowControl w:val="0"/>
        <w:numPr>
          <w:ilvl w:val="0"/>
          <w:numId w:val="3"/>
        </w:numPr>
        <w:shd w:val="clear" w:color="auto" w:fill="auto"/>
        <w:tabs>
          <w:tab w:pos="1133"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20.11.2009, и в соответствии с критериями определения страны происхождения товаров, предусмотренными указанными Правилами;</w:t>
      </w:r>
    </w:p>
    <w:p>
      <w:pPr>
        <w:pStyle w:val="Style7"/>
        <w:keepNext w:val="0"/>
        <w:keepLines w:val="0"/>
        <w:widowControl w:val="0"/>
        <w:numPr>
          <w:ilvl w:val="0"/>
          <w:numId w:val="3"/>
        </w:numPr>
        <w:shd w:val="clear" w:color="auto" w:fill="auto"/>
        <w:tabs>
          <w:tab w:pos="1133"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 xml:space="preserve">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17.07.2015 № 719 «О подтверждении </w:t>
      </w:r>
      <w:r>
        <w:rPr>
          <w:color w:val="000000"/>
          <w:spacing w:val="0"/>
          <w:w w:val="100"/>
          <w:position w:val="0"/>
          <w:sz w:val="24"/>
          <w:szCs w:val="24"/>
          <w:shd w:val="clear" w:color="auto" w:fill="auto"/>
          <w:lang w:val="ru-RU" w:eastAsia="ru-RU" w:bidi="ru-RU"/>
        </w:rPr>
        <w:t>производства промышленной продукции на территории Российской Федерации»;</w:t>
      </w:r>
    </w:p>
    <w:p>
      <w:pPr>
        <w:pStyle w:val="Style7"/>
        <w:keepNext w:val="0"/>
        <w:keepLines w:val="0"/>
        <w:widowControl w:val="0"/>
        <w:numPr>
          <w:ilvl w:val="0"/>
          <w:numId w:val="3"/>
        </w:numPr>
        <w:shd w:val="clear" w:color="auto" w:fill="auto"/>
        <w:tabs>
          <w:tab w:pos="1037"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сертификат о происхождении товара, выдаваемый уполномоченными органами (организациями) Донецкой Народной Республики, Луганской Народной Республики,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20.11.2009, и в соответствии с критериями определения страны происхождения товаров, предусмотренными указанными Правилами.</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силу пункта 1.4 Приказа № 126н в случае отклонения заявок в соответствии с пунктом 1 Постановления № 1289, контракт заключается с участником закупки по предложенной им цене контракта при совокупности следующих условий:</w:t>
      </w:r>
    </w:p>
    <w:p>
      <w:pPr>
        <w:pStyle w:val="Style7"/>
        <w:keepNext w:val="0"/>
        <w:keepLines w:val="0"/>
        <w:widowControl w:val="0"/>
        <w:numPr>
          <w:ilvl w:val="0"/>
          <w:numId w:val="5"/>
        </w:numPr>
        <w:shd w:val="clear" w:color="auto" w:fill="auto"/>
        <w:tabs>
          <w:tab w:pos="1037"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заявка такого участника закупки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pPr>
        <w:pStyle w:val="Style7"/>
        <w:keepNext w:val="0"/>
        <w:keepLines w:val="0"/>
        <w:widowControl w:val="0"/>
        <w:numPr>
          <w:ilvl w:val="0"/>
          <w:numId w:val="5"/>
        </w:numPr>
        <w:shd w:val="clear" w:color="auto" w:fill="auto"/>
        <w:tabs>
          <w:tab w:pos="1037"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заявка такого участника закупки соответствует требованиям извещения об осуществлении закупки, документации о закупке (в случае, если Законом о контрактной системе предусмотрена документация о закупке);</w:t>
      </w:r>
    </w:p>
    <w:p>
      <w:pPr>
        <w:pStyle w:val="Style7"/>
        <w:keepNext w:val="0"/>
        <w:keepLines w:val="0"/>
        <w:widowControl w:val="0"/>
        <w:numPr>
          <w:ilvl w:val="0"/>
          <w:numId w:val="5"/>
        </w:numPr>
        <w:shd w:val="clear" w:color="auto" w:fill="auto"/>
        <w:tabs>
          <w:tab w:pos="1037"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таким участником закупки предложена цена контракта, которая является наименьшей среди участников закупки (при наличии таких участников закупки), заявки которых не отклонены в соответствии с пунктом 1 Постановления № 1289 и при этом соответствуют совокупности условий, указанных в подпунктах «а» и «б» настоящего подпункта;</w:t>
      </w:r>
    </w:p>
    <w:p>
      <w:pPr>
        <w:pStyle w:val="Style7"/>
        <w:keepNext w:val="0"/>
        <w:keepLines w:val="0"/>
        <w:widowControl w:val="0"/>
        <w:numPr>
          <w:ilvl w:val="0"/>
          <w:numId w:val="5"/>
        </w:numPr>
        <w:shd w:val="clear" w:color="auto" w:fill="auto"/>
        <w:tabs>
          <w:tab w:pos="1037"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таким участником закупки предложена цена контракта, которая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соответствии с пунктом 1 Постановления № 1289, но не соответствует условию, указанному в подпункте «а» настоящего подпункта.</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Положения настоящего подпункта не применяются при отсутствии участника закупки, заявка которого соответствует указанным условиям.</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Подтверждением страны происхождения товаров, указанных в Приложениях, является указание (декларирование) участником закупки в заявке в соответствии с Федеральным законом наименования страны происхождения товара (пункт 1.6 Приказа № 126н).</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силу части 1 статьи 49 Закона о контрактной системе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Закона о контрактной системе. Заявка также может содержать информацию и документы, предусмотренные подпунктом «д» пункта 2 части 1 статьи 43 Закона о контрактной системе.</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Для участия в конкурентном способе заявка на участие в закупке, если иное не предусмотрено Законом о контрактной системе, должна содержать в рамках предложения участника закупки в отношении объекта закупки характеристики предлагаемого участником закупки товара, соответствующие показателям, установленным в описании объекта закупки, наименование страны происхождения товара в соответствии с общероссийским классификатором, используемым для идентификации стран мира (подпункты «а», «б» пункта 2 части 1 статьи 43 Закона о контрактной системе).</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 xml:space="preserve">В силу пункта 5 части 1 статьи 43 Закона о контрактной системе заявка на участие в закупке должна содержать информацию и документы, предусмотренные нормативными правовыми актами, принятыми в соответствии с частями 3 и 4 статьи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w:t>
      </w:r>
      <w:r>
        <w:rPr>
          <w:color w:val="000000"/>
          <w:spacing w:val="0"/>
          <w:w w:val="100"/>
          <w:position w:val="0"/>
          <w:sz w:val="24"/>
          <w:szCs w:val="24"/>
          <w:shd w:val="clear" w:color="auto" w:fill="auto"/>
          <w:lang w:val="ru-RU" w:eastAsia="ru-RU" w:bidi="ru-RU"/>
        </w:rPr>
        <w:t>государства или группы иностранных государств, работ, услуг, соответственно выполняемых, оказываемых иностранными лицами.</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Комиссией установлено, что требования о предоставлении в составе заявки документов и сведений, предусмотренных Постановлением № 1289, Приказом № 126н, установлены в электронном документе «1требования к содержанию и составу заявки на участие», являющимся приложением к извещению о проведении электронного аукциона.</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Пункт 1 части 5 статьи 49 Закона о контрактной системе устанавливает,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w:t>
      </w:r>
    </w:p>
    <w:p>
      <w:pPr>
        <w:pStyle w:val="Style7"/>
        <w:keepNext w:val="0"/>
        <w:keepLines w:val="0"/>
        <w:widowControl w:val="0"/>
        <w:numPr>
          <w:ilvl w:val="0"/>
          <w:numId w:val="7"/>
        </w:numPr>
        <w:shd w:val="clear" w:color="auto" w:fill="auto"/>
        <w:tabs>
          <w:tab w:pos="1000"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w:t>
      </w:r>
    </w:p>
    <w:p>
      <w:pPr>
        <w:pStyle w:val="Style7"/>
        <w:keepNext w:val="0"/>
        <w:keepLines w:val="0"/>
        <w:widowControl w:val="0"/>
        <w:numPr>
          <w:ilvl w:val="0"/>
          <w:numId w:val="7"/>
        </w:numPr>
        <w:shd w:val="clear" w:color="auto" w:fill="auto"/>
        <w:tabs>
          <w:tab w:pos="1009"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на основании информации, содержащейся в протоколе подачи ценовых предложений, а также результатов рассмотрения, предусмотренного подпунктом «а» пункта 1 части 5 статьи 49 Закона о контрактной системе,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статьи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статьи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Часть 12 статьи 48 Закона о контратакой системе устанавливают, что при рассмотрении вторых частей заявок на участие в закупке соответствующая заявка подлежит отклонению в случаях:</w:t>
      </w:r>
    </w:p>
    <w:p>
      <w:pPr>
        <w:pStyle w:val="Style7"/>
        <w:keepNext w:val="0"/>
        <w:keepLines w:val="0"/>
        <w:widowControl w:val="0"/>
        <w:numPr>
          <w:ilvl w:val="0"/>
          <w:numId w:val="9"/>
        </w:numPr>
        <w:shd w:val="clear" w:color="auto" w:fill="auto"/>
        <w:tabs>
          <w:tab w:pos="1009"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непредставления (за исключением случаев, предусмотренных Законом о контратакой системе) в заявке на участие в закупке информации и документов, предусмотренных извещением об осуществлении закупки в соответствии с Законос о контратакой системе (за исключением информации и документов, предусмотренных пунктами 2 и 3 части 6 статьи 43 Закона о контратакой системе), несоответствия таких информации и документов требованиям, установленным в извещении об осуществлении закупки;</w:t>
      </w:r>
    </w:p>
    <w:p>
      <w:pPr>
        <w:pStyle w:val="Style7"/>
        <w:keepNext w:val="0"/>
        <w:keepLines w:val="0"/>
        <w:widowControl w:val="0"/>
        <w:numPr>
          <w:ilvl w:val="0"/>
          <w:numId w:val="9"/>
        </w:numPr>
        <w:shd w:val="clear" w:color="auto" w:fill="auto"/>
        <w:tabs>
          <w:tab w:pos="1009"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непредставления информации и документов, предусмотренных пунктами 2 и 3 части 6 статьи 43 Закона о контратакой системе, несоответствия таких информации и документов требованиям, установленным в извещении об осуществлении закупки;</w:t>
      </w:r>
    </w:p>
    <w:p>
      <w:pPr>
        <w:pStyle w:val="Style7"/>
        <w:keepNext w:val="0"/>
        <w:keepLines w:val="0"/>
        <w:widowControl w:val="0"/>
        <w:numPr>
          <w:ilvl w:val="0"/>
          <w:numId w:val="9"/>
        </w:numPr>
        <w:shd w:val="clear" w:color="auto" w:fill="auto"/>
        <w:tabs>
          <w:tab w:pos="1009"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частью 1 статьи 31 Закона о контратакой системе, требованиям, установленным в извещении об осуществлении закупки в соответствии с частями 1.1, 2 и 2.1 (при наличии таких требований) статьи 31 Закона о контратакой системе;</w:t>
      </w:r>
    </w:p>
    <w:p>
      <w:pPr>
        <w:pStyle w:val="Style7"/>
        <w:keepNext w:val="0"/>
        <w:keepLines w:val="0"/>
        <w:widowControl w:val="0"/>
        <w:numPr>
          <w:ilvl w:val="0"/>
          <w:numId w:val="9"/>
        </w:numPr>
        <w:shd w:val="clear" w:color="auto" w:fill="auto"/>
        <w:tabs>
          <w:tab w:pos="1009"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предусмотренных нормативными правовыми актами, принятыми в соответствии со статьей 14 Закона о контратакой системе (за исключением случаев непредставления информации и документов, предусмотренных пунктом 5 части 1 статьи 43 Закона о контратакой системе);</w:t>
      </w:r>
    </w:p>
    <w:p>
      <w:pPr>
        <w:pStyle w:val="Style7"/>
        <w:keepNext w:val="0"/>
        <w:keepLines w:val="0"/>
        <w:widowControl w:val="0"/>
        <w:numPr>
          <w:ilvl w:val="0"/>
          <w:numId w:val="9"/>
        </w:numPr>
        <w:shd w:val="clear" w:color="auto" w:fill="auto"/>
        <w:tabs>
          <w:tab w:pos="1009"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 xml:space="preserve">непредставления информации и документов, предусмотренных пунктом 5 части 1 статьи 43 Закона о контратакой системе, если такие документы предусмотрены нормативными правовыми актами, принятыми в соответствии с частью 3 статьи 14 Закона о контратакой системе (в случае установления в соответствии со статьей 14 Закона о контратакой системе в извещении об </w:t>
      </w:r>
      <w:r>
        <w:rPr>
          <w:color w:val="000000"/>
          <w:spacing w:val="0"/>
          <w:w w:val="100"/>
          <w:position w:val="0"/>
          <w:sz w:val="24"/>
          <w:szCs w:val="24"/>
          <w:shd w:val="clear" w:color="auto" w:fill="auto"/>
          <w:lang w:val="ru-RU" w:eastAsia="ru-RU" w:bidi="ru-RU"/>
        </w:rPr>
        <w:t>осуществлении закупки запрета допуска товаров, происходящих из иностранного государства или группы иностранных государств);</w:t>
      </w:r>
    </w:p>
    <w:p>
      <w:pPr>
        <w:pStyle w:val="Style7"/>
        <w:keepNext w:val="0"/>
        <w:keepLines w:val="0"/>
        <w:widowControl w:val="0"/>
        <w:numPr>
          <w:ilvl w:val="0"/>
          <w:numId w:val="9"/>
        </w:numPr>
        <w:shd w:val="clear" w:color="auto" w:fill="auto"/>
        <w:tabs>
          <w:tab w:pos="1064"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выявления отнесения участника закупки к организациям, предусмотренным пунктом 4 статьи 2 Федерального закона от 04.06.2018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7"/>
        <w:keepNext w:val="0"/>
        <w:keepLines w:val="0"/>
        <w:widowControl w:val="0"/>
        <w:numPr>
          <w:ilvl w:val="0"/>
          <w:numId w:val="9"/>
        </w:numPr>
        <w:shd w:val="clear" w:color="auto" w:fill="auto"/>
        <w:tabs>
          <w:tab w:pos="1713"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предусмотренных частью 6 статьи 45 Закона о контратакой системе;</w:t>
      </w:r>
    </w:p>
    <w:p>
      <w:pPr>
        <w:pStyle w:val="Style7"/>
        <w:keepNext w:val="0"/>
        <w:keepLines w:val="0"/>
        <w:widowControl w:val="0"/>
        <w:numPr>
          <w:ilvl w:val="0"/>
          <w:numId w:val="9"/>
        </w:numPr>
        <w:shd w:val="clear" w:color="auto" w:fill="auto"/>
        <w:tabs>
          <w:tab w:pos="1713"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выявления недостоверной информации, содержащейся в заявке на участие в закупке;</w:t>
      </w:r>
    </w:p>
    <w:p>
      <w:pPr>
        <w:pStyle w:val="Style7"/>
        <w:keepNext w:val="0"/>
        <w:keepLines w:val="0"/>
        <w:widowControl w:val="0"/>
        <w:numPr>
          <w:ilvl w:val="0"/>
          <w:numId w:val="9"/>
        </w:numPr>
        <w:shd w:val="clear" w:color="auto" w:fill="auto"/>
        <w:tabs>
          <w:tab w:pos="1064"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указания информации о предложении участника закупки, предусмотренном пунктом 3 или пунктом 4 части 1 статьи 43 Закона о контратакой системе.</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Согласно сведениям Протокола подведения итогов определения поставщика (подрядчика, исполнителя) от 04.10.2024 №ИЭА1 аукционной комиссией были рассмотрены 5 заявок.</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Проанализировав содержание заявок на участие в закупке, Комиссия установила следующие предложения, сведения и документы в их содержании:</w:t>
      </w:r>
    </w:p>
    <w:p>
      <w:pPr>
        <w:pStyle w:val="Style7"/>
        <w:keepNext w:val="0"/>
        <w:keepLines w:val="0"/>
        <w:widowControl w:val="0"/>
        <w:numPr>
          <w:ilvl w:val="0"/>
          <w:numId w:val="11"/>
        </w:numPr>
        <w:shd w:val="clear" w:color="auto" w:fill="auto"/>
        <w:tabs>
          <w:tab w:pos="1035"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АО «Фирма Евросервис» (идентификационный номер заявки - 1114127) сделано предложение о цене контракта - 288 858,96 руб.</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составе заявки предоставлены следующие документы:</w:t>
      </w:r>
    </w:p>
    <w:p>
      <w:pPr>
        <w:pStyle w:val="Style7"/>
        <w:keepNext w:val="0"/>
        <w:keepLines w:val="0"/>
        <w:widowControl w:val="0"/>
        <w:numPr>
          <w:ilvl w:val="0"/>
          <w:numId w:val="13"/>
        </w:numPr>
        <w:shd w:val="clear" w:color="auto" w:fill="auto"/>
        <w:tabs>
          <w:tab w:pos="1416"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Регистрационное удостоверение лекарственного препарата для медицинского применения ЛП-005517; Производитель ООО «Завод Медсинтез», Россия;</w:t>
      </w:r>
    </w:p>
    <w:p>
      <w:pPr>
        <w:pStyle w:val="Style7"/>
        <w:keepNext w:val="0"/>
        <w:keepLines w:val="0"/>
        <w:widowControl w:val="0"/>
        <w:numPr>
          <w:ilvl w:val="0"/>
          <w:numId w:val="13"/>
        </w:numPr>
        <w:shd w:val="clear" w:color="auto" w:fill="auto"/>
        <w:tabs>
          <w:tab w:pos="1416"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Сертификат о происхождении товара по форме СТ-1 4013000115; Производитель ООО «Завод Медсинтез», Россия.</w:t>
      </w:r>
    </w:p>
    <w:p>
      <w:pPr>
        <w:pStyle w:val="Style7"/>
        <w:keepNext w:val="0"/>
        <w:keepLines w:val="0"/>
        <w:widowControl w:val="0"/>
        <w:numPr>
          <w:ilvl w:val="0"/>
          <w:numId w:val="11"/>
        </w:numPr>
        <w:shd w:val="clear" w:color="auto" w:fill="auto"/>
        <w:tabs>
          <w:tab w:pos="1035"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ООО «Виталенд» (идентификационный номер заявки - 1104177) сделано предложение о цене контракта - 291 327,84 руб.</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составе заявки предоставлены следующие документы:</w:t>
      </w:r>
    </w:p>
    <w:p>
      <w:pPr>
        <w:pStyle w:val="Style7"/>
        <w:keepNext w:val="0"/>
        <w:keepLines w:val="0"/>
        <w:widowControl w:val="0"/>
        <w:numPr>
          <w:ilvl w:val="0"/>
          <w:numId w:val="15"/>
        </w:numPr>
        <w:shd w:val="clear" w:color="auto" w:fill="auto"/>
        <w:tabs>
          <w:tab w:pos="1416"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Регистрационное удостоверение лекарственного препарата для медицинского применения ЛП-002335; Производитель ФКП «Армавирская биофабрика», Россия;</w:t>
      </w:r>
    </w:p>
    <w:p>
      <w:pPr>
        <w:pStyle w:val="Style7"/>
        <w:keepNext w:val="0"/>
        <w:keepLines w:val="0"/>
        <w:widowControl w:val="0"/>
        <w:numPr>
          <w:ilvl w:val="0"/>
          <w:numId w:val="15"/>
        </w:numPr>
        <w:shd w:val="clear" w:color="auto" w:fill="auto"/>
        <w:tabs>
          <w:tab w:pos="1416"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Сертификат о происхождении товара по форме СТ-1 4082000431; Производитель ФКП «Армавирская биофабрика», Россия.</w:t>
      </w:r>
    </w:p>
    <w:p>
      <w:pPr>
        <w:pStyle w:val="Style7"/>
        <w:keepNext w:val="0"/>
        <w:keepLines w:val="0"/>
        <w:widowControl w:val="0"/>
        <w:numPr>
          <w:ilvl w:val="0"/>
          <w:numId w:val="11"/>
        </w:numPr>
        <w:shd w:val="clear" w:color="auto" w:fill="auto"/>
        <w:tabs>
          <w:tab w:pos="1035"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ООО «НОРД-ФАРМ (идентификационный номер заявки - 1116248) сделано предложение о цене контракта - 325 892,16 руб.</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составе заявки предоставлены следующие документы:</w:t>
      </w:r>
    </w:p>
    <w:p>
      <w:pPr>
        <w:pStyle w:val="Style7"/>
        <w:keepNext w:val="0"/>
        <w:keepLines w:val="0"/>
        <w:widowControl w:val="0"/>
        <w:numPr>
          <w:ilvl w:val="0"/>
          <w:numId w:val="17"/>
        </w:numPr>
        <w:shd w:val="clear" w:color="auto" w:fill="auto"/>
        <w:tabs>
          <w:tab w:pos="1416"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Регистрационное удостоверение лекарственного препарата для медицинского применения</w:t>
      </w:r>
    </w:p>
    <w:p>
      <w:pPr>
        <w:pStyle w:val="Style7"/>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Р №02077/01; Производитель ФГУП «Московский эндокринный завод»;</w:t>
      </w:r>
    </w:p>
    <w:p>
      <w:pPr>
        <w:pStyle w:val="Style7"/>
        <w:keepNext w:val="0"/>
        <w:keepLines w:val="0"/>
        <w:widowControl w:val="0"/>
        <w:numPr>
          <w:ilvl w:val="0"/>
          <w:numId w:val="17"/>
        </w:numPr>
        <w:shd w:val="clear" w:color="auto" w:fill="auto"/>
        <w:tabs>
          <w:tab w:pos="1416"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Сертификат о происхождении товара по форме СТ-1 4021007132; Производитель ФГУП «Московский эндокринный завод»;</w:t>
      </w:r>
    </w:p>
    <w:p>
      <w:pPr>
        <w:pStyle w:val="Style7"/>
        <w:keepNext w:val="0"/>
        <w:keepLines w:val="0"/>
        <w:widowControl w:val="0"/>
        <w:numPr>
          <w:ilvl w:val="0"/>
          <w:numId w:val="17"/>
        </w:numPr>
        <w:shd w:val="clear" w:color="auto" w:fill="auto"/>
        <w:tabs>
          <w:tab w:pos="1416"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Сертификат соответствия требованиям правил надлежащей производственной практики Евразийского экономического союза № ПМР/ЕАЕи/Ки/01381 -2024; Производитель ФГУП «Московский эндокринный завод»;</w:t>
      </w:r>
    </w:p>
    <w:p>
      <w:pPr>
        <w:pStyle w:val="Style7"/>
        <w:keepNext w:val="0"/>
        <w:keepLines w:val="0"/>
        <w:widowControl w:val="0"/>
        <w:numPr>
          <w:ilvl w:val="0"/>
          <w:numId w:val="17"/>
        </w:numPr>
        <w:shd w:val="clear" w:color="auto" w:fill="auto"/>
        <w:tabs>
          <w:tab w:pos="1416"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Документ, содержащий сведения о стадиях технологического производства лекарственного средства, осуществляемых на территории Евразийского экономического союза СП- 002523/12/2023; Производитель ФГУП «Московский эндокринный завод».</w:t>
      </w:r>
    </w:p>
    <w:p>
      <w:pPr>
        <w:pStyle w:val="Style7"/>
        <w:keepNext w:val="0"/>
        <w:keepLines w:val="0"/>
        <w:widowControl w:val="0"/>
        <w:numPr>
          <w:ilvl w:val="0"/>
          <w:numId w:val="11"/>
        </w:numPr>
        <w:shd w:val="clear" w:color="auto" w:fill="auto"/>
        <w:tabs>
          <w:tab w:pos="1035"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ООО «Аксиома» (идентификационный номер заявки - 1117438) сделано предложение о цене контракта - 493 776,00 руб.</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составе заявки предоставлены следующие документы:</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 Регистрационное удостоверение лекарственного препарата для медицинского применения</w:t>
      </w:r>
    </w:p>
    <w:p>
      <w:pPr>
        <w:pStyle w:val="Style7"/>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 №12984/01; Производитель Б.Браун Медикал С.А., Испания.</w:t>
      </w:r>
    </w:p>
    <w:p>
      <w:pPr>
        <w:pStyle w:val="Style7"/>
        <w:keepNext w:val="0"/>
        <w:keepLines w:val="0"/>
        <w:widowControl w:val="0"/>
        <w:numPr>
          <w:ilvl w:val="0"/>
          <w:numId w:val="11"/>
        </w:numPr>
        <w:shd w:val="clear" w:color="auto" w:fill="auto"/>
        <w:tabs>
          <w:tab w:pos="1030"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ООО «Манас Мед» (идентификационный номер заявки - 1115851) сделано предложение о цене контракта - 493 776,00 руб.</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составе заявки предоставлены следующие документы:</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 Регистрационное удостоверение лекарственного препарата для медицинского применения ЛП-008038; Производитель Рус-Мед Экспорте Прайвит Лимитед, Индия.</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Комиссия отмечает, что ограничение, установленное, применяется только при наличии всех условий, установленных пунктом 1 Постановления № 1289, в совокупности. При этом должно быть не менее двух, удовлетворяющих требованиям извещения об осуществлении закупки и (или) документации о закупке заявок, которые содержат предложения в отношении всех торговых наименований предлагаемых лекарственных препаратов в рамках одного МНН, страной происхождения которых являются государства - члены Евразийского экономического союза, подтвержденной сертификатом о происхождении товара.</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При этом участник закупки, который предлагает лекарственный препарат, страной происхождения которого является государство - член Евразийского экономического союза, с целью подтверждения страны происхождения такого лекарственного препарата в составе своей заявки должен представить документ, подтверждающий страну происхождения лекарственного препарата.</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На основании изложенного при наличии двух заявок, соответствующих положениям пункта 1 Постановления № 1289, и содержащих документ, подтверждающий страну происхождения лекарственного препарата, иные заявки участников закупки, содержащие предложения о поставке иностранного лекарственного препарата, а также лекарственного препарата, страной происхождения которого является государство - член Евразийского экономического союза, но не содержащие документа, подтверждающего страну происхождения лекарственного препарата, признаются не соответствующими требованиям и подлежат отклонению.</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Таким образом, аукционной комиссией правомерно заявки с идентификационными номерами 1117438 и 1115851 признаны не соответствующими требованиям извещения о проведении закупки и Закона о контрактной системы и отклонены по основаниям, указанным в Протоколе подведения итогов определения поставщика (подрядчика, исполнителя) от 04.10.2024 №ИЭА1: «Отклонить заявку на участие в закупке по п. 4 ч. 12 ст. 48 № 44-ФЗ «В соответствии с требованиями нормативных правовых актов, принятых в соответствии со ст. 14 Закона № 44 ФЗ» (за исключением случаев непредоставления информации и документов, предусмотренных п. 5 ч. 1 ст. 43 Закона № 44-ФЗ) Отклонить заявку на участие в закупке по п. 4 ч. 12 ст. 48 № 44-ФЗ «В соответствии с требованиями нормативных правовых актов, принятых в соответствии со ст. 14 Закона № 44 ФЗ» (за исключением случаев непредоставления информации и документов, предусмотренных п. 5 ч. 1 ст. 43 Закона № 44-ФЗ) на основании НПА, принятыми в соответствии со ст. 14 Закона 44-ФЗ (Заявка отклонена в соответствии с п. 1 постановления правительства РФ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Далее, если после отклонения заявок, предлагающих иностранные лекарственные препараты, в соответствии с механизмом, установленным пунктом 1 Постановления № 1289, имеется хотя бы одна заявка, которая содержит предложение о поставке всех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а также в составе заявки имеются сведения о двух документах, поименованных в пункте 1(2) Постановления № 1289, в отношении таких лекарственных препаратов применяются условия допуска, утвержденные подпунктом 1.4 пункта 1 Приказа № 126н.</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Указанная позиция Комиссии согласуется с позицией, изложенной в Письме Минэкономразвития России № 6723-ЕЕ/Д28и, Минпромторга России № ЦС-14384/19, Минздрава России № 25-0/10/2-1416, ФАС России № АЦ/15615/16 от 14.03.2016 «О позиции Минэкономразвития России, Минпромторга России, Минздрава России и ФАС России по вопросу применения положений постановления Правительства Российской Федерации от 30 ноября 2015 г.</w:t>
      </w:r>
    </w:p>
    <w:p>
      <w:pPr>
        <w:pStyle w:val="Style7"/>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Письме ФАС России от 09.04.2019 № МЕ/28972/19 «О рассмотрении обращения», Письме ФАС России от 09.03.2016 № АЦ/14053/16 «О рассмотрении обращения».</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Комиссия установила, что условие о наличии двух заявок, соответствующих положениям пункта 1 Постановления № 1289, и содержащих документ, подтверждающий страну происхождения лекарственного препарата, в рассматриваемом случае соблюдается, поскольку три заявки содержат одновременно различные товары Российского происхождения и документы, подтверждающие страну происхождения лекарственного препарата.</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соответствии с Протоколом подведения итогов определения поставщика (подрядчика, исполнителя) от 04.10.2024 №ИЭА1 по результатам подведения итогов определения поставщика (подрядчика, исполнителя) победителем электронного аукциона признан участник закупки с идентификационным номером № 1114127, предложивший цену контракта 288 858,96 руб. (Двести восемьдесят восемь тысяч восемьсот пятьдесят восемь рублей 96 копеек).</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Вместе с тем подателем жалобы (идентификационный номер заявки - 1116248) в составе заявки помимо регистрационного удостоверения и сертификата о происхождении товара по форме СТ-1 предоставлены Сертификат соответствия требованиям правил надлежащей производственной практики Евразийского экономического союза № СМР/ЕАЕи/Ки/01381-2024 и документ, содержащий сведения о стадиях технологического производства лекарственного средства, осуществляемых на территории Евразийского экономического союза СП-002523/12/2023.</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пункте 1.1 документа СП-0002523/12/2023 указана информация о том, что методом получения фармацевтической субстанции «Гепарин натрия - 5000 МЕ» является выделение фармацевтической субстанции из источников животного происхождения.</w:t>
      </w:r>
    </w:p>
    <w:p>
      <w:pPr>
        <w:pStyle w:val="Style7"/>
        <w:keepNext w:val="0"/>
        <w:keepLines w:val="0"/>
        <w:widowControl w:val="0"/>
        <w:shd w:val="clear" w:color="auto" w:fill="auto"/>
        <w:tabs>
          <w:tab w:leader="hyphen" w:pos="6283"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Также в указанном документе СП не заполнена графа 2.А.1 «Стадии производства до получения молекулы», в данной графе указан знак «</w:t>
        <w:tab/>
        <w:t>» (прочерк).</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то же время графы 2.А.2 «Стадии обработки (без получения молекулы)», 2.А.3 «Завершающие стадии производства», 2.А.4 «Фасовка фармацевтической субстанции», 2.А.5 «Упаковка» заполнены, указано: ФГУП «Московский эндокринный завод», Российская Федерация, г. Москва, ул. Новохохловская, д. 25, стр. 2.</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Согласно пункту 59 Приложения № 2 к Административному регламенту Министерства промышленности и торговли Российской Федерации по предоставлению государственной услуги по выдаче документа, содержащего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утвержденному Приказом Минпромторга России от 31.12.2015 № 4368, (далее - Административный регламент № 4368) у субстанций, получаемых методами выделения источников биологического, животного или растительного происхождения «Стадии производства до получения молекулы» указание информации в пункте 2.А.1. не предусмотрено.</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соответствии с письмами Минпромторга России от 21.02.2022 № ОВ-13429/19, от 16.08.2022 № 79287/19 Приложением № 2 к Административному регламенту для фармацевтических субстанций, получаемых методами выделения из источников минерального, биологического, животного или растительного происхождения, предусмотрены технологические процессы начиная с «обработки (без изменения молекулы)». Таким образом, для данных методов получения фармацевтической субстанции подтверждением всех стадий технологического процесса производства на территории Евразийского экономического союза является указание в документе СП стадий технологического процесса, начиная с подпункта 2.А.2. «Стадии обработки (без изменения молекулы)».</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 xml:space="preserve">Необходимо отметить, что заявка подателя жалобы содержит документ, содержащий сведения о стадиях технологического процесса производства лекарственного средства осуществляемых на территории Евразийского экономического союза, в котором указана как информация о фармацевтической субстанции и методе ее получения, так и о стадии обработки (без </w:t>
      </w:r>
      <w:r>
        <w:rPr>
          <w:color w:val="000000"/>
          <w:spacing w:val="0"/>
          <w:w w:val="100"/>
          <w:position w:val="0"/>
          <w:sz w:val="24"/>
          <w:szCs w:val="24"/>
          <w:shd w:val="clear" w:color="auto" w:fill="auto"/>
          <w:lang w:val="ru-RU" w:eastAsia="ru-RU" w:bidi="ru-RU"/>
        </w:rPr>
        <w:t>изменения молекулы) - очистке (графа 2.А.2 заполнена).</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Таким образом, в рассматриваемой закупке заявка только одного участника (подателя жалобы) соответствует всем условиям допуска, предусмотренным Приказом № 126н.</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Поскольку в рассматриваемой закупке имеется совокупность условий для применения пункта 1.4 Приказа 126н, аукционной комиссией в нарушение подпункта «б» пункта 1 части 5 статьи 49 Закона о контрактной системе в Протоколе подведения итогов определения поставщика (подрядчика, исполнителя) от 04.10.2024 № ИЭА1 по результатам подведения итогов определения поставщика (подрядчика, исполнителя) неправомерно победителем электронного аукциона признан участник закупки с идентификационным номером № 1114127, поскольку таким победителем должен был быть признан податель жалобы.</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указанных действиях аукционной комиссии также имеются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Таким образом, в действиях аукционной комиссии, выраженных в Протоколе подведения итогов определения поставщика (подрядчика, исполнителя) от 04.10.2024 № ИЭА1, имеются нарушения требований Закона о контрактной системе, в связи с чем доводы подателя жалобы являются обоснованными, а также имеются основания для выдачи аукционной комиссии предписания об устранении нарушений законодательства о контрактной системе, прав и законных интересов участников закупки путем повторного рассмотрения заявок, поданных на участие в электронном аукционе.</w:t>
      </w:r>
    </w:p>
    <w:p>
      <w:pPr>
        <w:pStyle w:val="Style7"/>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На основании вышеизложенных обстоятельств, в результате рассмотрения жалобы по существу и проведения внеплановой проверки, руководствуясь частями 3, 15, 22 статьи 99, частью 8 статьи 106 Закона о контрактной системе, Комиссия Красноярского УФАС России решила:</w:t>
      </w:r>
    </w:p>
    <w:p>
      <w:pPr>
        <w:pStyle w:val="Style7"/>
        <w:keepNext w:val="0"/>
        <w:keepLines w:val="0"/>
        <w:widowControl w:val="0"/>
        <w:numPr>
          <w:ilvl w:val="0"/>
          <w:numId w:val="19"/>
        </w:numPr>
        <w:shd w:val="clear" w:color="auto" w:fill="auto"/>
        <w:tabs>
          <w:tab w:pos="1029"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Признать жалобу ООО «Норд-фарм» обоснованной.</w:t>
      </w:r>
    </w:p>
    <w:p>
      <w:pPr>
        <w:pStyle w:val="Style7"/>
        <w:keepNext w:val="0"/>
        <w:keepLines w:val="0"/>
        <w:widowControl w:val="0"/>
        <w:numPr>
          <w:ilvl w:val="0"/>
          <w:numId w:val="19"/>
        </w:numPr>
        <w:shd w:val="clear" w:color="auto" w:fill="auto"/>
        <w:tabs>
          <w:tab w:pos="1030"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Признать аукционную комиссию нарушившей требования подпункта «б» пункта 1 части 5 статьи 49 Закона о контрактной системе.</w:t>
      </w:r>
    </w:p>
    <w:p>
      <w:pPr>
        <w:pStyle w:val="Style7"/>
        <w:keepNext w:val="0"/>
        <w:keepLines w:val="0"/>
        <w:widowControl w:val="0"/>
        <w:numPr>
          <w:ilvl w:val="0"/>
          <w:numId w:val="19"/>
        </w:numPr>
        <w:shd w:val="clear" w:color="auto" w:fill="auto"/>
        <w:tabs>
          <w:tab w:pos="1030"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В целях устранения нарушения законодательства о контрактной системе и восстановления нарушения прав участников закупки выдать обязательное для исполнения предписание, в этой связи:</w:t>
      </w:r>
    </w:p>
    <w:p>
      <w:pPr>
        <w:pStyle w:val="Style7"/>
        <w:keepNext w:val="0"/>
        <w:keepLines w:val="0"/>
        <w:widowControl w:val="0"/>
        <w:numPr>
          <w:ilvl w:val="0"/>
          <w:numId w:val="21"/>
        </w:numPr>
        <w:shd w:val="clear" w:color="auto" w:fill="auto"/>
        <w:tabs>
          <w:tab w:pos="939"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аукционной комиссии, заказчику, оператору электронной площадки отменить Протокол подведения итогов определения поставщика (подрядчика, исполнителя) от 04.10.2024 № ИЭА1;</w:t>
      </w:r>
    </w:p>
    <w:p>
      <w:pPr>
        <w:pStyle w:val="Style7"/>
        <w:keepNext w:val="0"/>
        <w:keepLines w:val="0"/>
        <w:widowControl w:val="0"/>
        <w:numPr>
          <w:ilvl w:val="0"/>
          <w:numId w:val="21"/>
        </w:numPr>
        <w:shd w:val="clear" w:color="auto" w:fill="auto"/>
        <w:tabs>
          <w:tab w:pos="944"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аукционной комиссии осуществить повторное рассмотрение всех заявок, поданных на участие в электронном аукционе.</w:t>
      </w:r>
    </w:p>
    <w:p>
      <w:pPr>
        <w:pStyle w:val="Style7"/>
        <w:keepNext w:val="0"/>
        <w:keepLines w:val="0"/>
        <w:widowControl w:val="0"/>
        <w:numPr>
          <w:ilvl w:val="0"/>
          <w:numId w:val="19"/>
        </w:numPr>
        <w:shd w:val="clear" w:color="auto" w:fill="auto"/>
        <w:tabs>
          <w:tab w:pos="1035" w:val="left"/>
        </w:tabs>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Передать материалы по жалобе и результатам внеплановой проверки уполномоченному должностному лицу Красноярского УФАС России для принятия решения о возбуждении дел об административном правонарушении в отношении членов аукционной комиссии.</w:t>
      </w:r>
    </w:p>
    <w:p>
      <w:pPr>
        <w:pStyle w:val="Style7"/>
        <w:keepNext w:val="0"/>
        <w:keepLines w:val="0"/>
        <w:widowControl w:val="0"/>
        <w:shd w:val="clear" w:color="auto" w:fill="auto"/>
        <w:bidi w:val="0"/>
        <w:spacing w:before="0" w:after="240" w:line="240" w:lineRule="auto"/>
        <w:ind w:left="0" w:right="0" w:firstLine="700"/>
        <w:jc w:val="both"/>
      </w:pPr>
      <w:r>
        <w:rPr>
          <w:color w:val="000000"/>
          <w:spacing w:val="0"/>
          <w:w w:val="100"/>
          <w:position w:val="0"/>
          <w:sz w:val="24"/>
          <w:szCs w:val="24"/>
          <w:shd w:val="clear" w:color="auto" w:fill="auto"/>
          <w:lang w:val="ru-RU" w:eastAsia="ru-RU" w:bidi="ru-RU"/>
        </w:rPr>
        <w:t>Настоящее решение может быть обжаловано в арбитражный суд Красноярского края в течение трех месяцев со дня его принятия.</w:t>
      </w:r>
    </w:p>
    <w:p>
      <w:pPr>
        <w:pStyle w:val="Style7"/>
        <w:keepNext w:val="0"/>
        <w:keepLines w:val="0"/>
        <w:widowControl w:val="0"/>
        <w:shd w:val="clear" w:color="auto" w:fill="auto"/>
        <w:tabs>
          <w:tab w:pos="8640" w:val="left"/>
        </w:tabs>
        <w:bidi w:val="0"/>
        <w:spacing w:before="0" w:after="52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М.А. Дударева</w:t>
      </w:r>
    </w:p>
    <w:p>
      <w:pPr>
        <w:pStyle w:val="Style7"/>
        <w:keepNext w:val="0"/>
        <w:keepLines w:val="0"/>
        <w:widowControl w:val="0"/>
        <w:shd w:val="clear" w:color="auto" w:fill="auto"/>
        <w:tabs>
          <w:tab w:pos="8880" w:val="left"/>
        </w:tabs>
        <w:bidi w:val="0"/>
        <w:spacing w:before="0" w:after="52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М.А. Грицай</w:t>
      </w:r>
    </w:p>
    <w:p>
      <w:pPr>
        <w:pStyle w:val="Style7"/>
        <w:keepNext w:val="0"/>
        <w:keepLines w:val="0"/>
        <w:widowControl w:val="0"/>
        <w:shd w:val="clear" w:color="auto" w:fill="auto"/>
        <w:bidi w:val="0"/>
        <w:spacing w:before="0" w:after="520" w:line="240" w:lineRule="auto"/>
        <w:ind w:left="0" w:right="0" w:firstLine="0"/>
        <w:jc w:val="right"/>
      </w:pPr>
      <w:r>
        <w:rPr>
          <w:color w:val="000000"/>
          <w:spacing w:val="0"/>
          <w:w w:val="100"/>
          <w:position w:val="0"/>
          <w:sz w:val="24"/>
          <w:szCs w:val="24"/>
          <w:shd w:val="clear" w:color="auto" w:fill="auto"/>
          <w:lang w:val="ru-RU" w:eastAsia="ru-RU" w:bidi="ru-RU"/>
        </w:rPr>
        <w:t>Е.А. Шмыгина</w:t>
      </w:r>
    </w:p>
    <w:sectPr>
      <w:footnotePr>
        <w:pos w:val="pageBottom"/>
        <w:numFmt w:val="decimal"/>
        <w:numRestart w:val="continuous"/>
      </w:footnotePr>
      <w:type w:val="continuous"/>
      <w:pgSz w:w="11900" w:h="16840"/>
      <w:pgMar w:top="1073" w:right="536" w:bottom="1147"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720725</wp:posOffset>
              </wp:positionH>
              <wp:positionV relativeFrom="page">
                <wp:posOffset>10027920</wp:posOffset>
              </wp:positionV>
              <wp:extent cx="6470650" cy="106680"/>
              <wp:wrapNone/>
              <wp:docPr id="1" name="Shape 1"/>
              <a:graphic xmlns:a="http://schemas.openxmlformats.org/drawingml/2006/main">
                <a:graphicData uri="http://schemas.microsoft.com/office/word/2010/wordprocessingShape">
                  <wps:wsp>
                    <wps:cNvSpPr txBox="1"/>
                    <wps:spPr>
                      <a:xfrm>
                        <a:ext cx="6470650" cy="106680"/>
                      </a:xfrm>
                      <a:prstGeom prst="rect"/>
                      <a:noFill/>
                    </wps:spPr>
                    <wps:txbx>
                      <w:txbxContent>
                        <w:p>
                          <w:pPr>
                            <w:pStyle w:val="Style9"/>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2024-17609</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75pt;margin-top:789.60000000000002pt;width:509.5pt;height:8.4000000000000004pt;z-index:-188744063;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2024-17609</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3" name="Shape 3"/>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2024-17609</w:t>
                          </w:r>
                        </w:p>
                      </w:txbxContent>
                    </wps:txbx>
                    <wps:bodyPr wrap="none" lIns="0" tIns="0" rIns="0" bIns="0">
                      <a:spAutoFit/>
                    </wps:bodyPr>
                  </wps:wsp>
                </a:graphicData>
              </a:graphic>
            </wp:anchor>
          </w:drawing>
        </mc:Choice>
        <mc:Fallback>
          <w:pict>
            <v:shape id="_x0000_s1029"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2024-17609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8">
    <w:name w:val="Основной текст_"/>
    <w:basedOn w:val="DefaultParagraphFont"/>
    <w:link w:val="Style7"/>
    <w:rPr>
      <w:rFonts w:ascii="Times New Roman" w:eastAsia="Times New Roman" w:hAnsi="Times New Roman" w:cs="Times New Roman"/>
      <w:b w:val="0"/>
      <w:bCs w:val="0"/>
      <w:i w:val="0"/>
      <w:iCs w:val="0"/>
      <w:smallCaps w:val="0"/>
      <w:strike w:val="0"/>
      <w:u w:val="none"/>
    </w:rPr>
  </w:style>
  <w:style w:type="character" w:customStyle="1" w:styleId="CharStyle10">
    <w:name w:val="Колонтитул (2)_"/>
    <w:basedOn w:val="DefaultParagraphFont"/>
    <w:link w:val="Style9"/>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Заголовок №1_"/>
    <w:basedOn w:val="DefaultParagraphFont"/>
    <w:link w:val="Style13"/>
    <w:rPr>
      <w:rFonts w:ascii="Arial" w:eastAsia="Arial" w:hAnsi="Arial" w:cs="Arial"/>
      <w:b w:val="0"/>
      <w:bCs w:val="0"/>
      <w:i w:val="0"/>
      <w:iCs w:val="0"/>
      <w:smallCaps w:val="0"/>
      <w:strike w:val="0"/>
      <w:sz w:val="32"/>
      <w:szCs w:val="32"/>
      <w:u w:val="none"/>
    </w:rPr>
  </w:style>
  <w:style w:type="paragraph" w:customStyle="1" w:styleId="Style2">
    <w:name w:val="Основной текст (2)"/>
    <w:basedOn w:val="Normal"/>
    <w:link w:val="CharStyle3"/>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5">
    <w:name w:val="Основной текст (3)"/>
    <w:basedOn w:val="Normal"/>
    <w:link w:val="CharStyle6"/>
    <w:pPr>
      <w:widowControl w:val="0"/>
      <w:shd w:val="clear" w:color="auto" w:fill="auto"/>
      <w:jc w:val="center"/>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7">
    <w:name w:val="Основной текст"/>
    <w:basedOn w:val="Normal"/>
    <w:link w:val="CharStyle8"/>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9">
    <w:name w:val="Колонтитул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Заголовок №1"/>
    <w:basedOn w:val="Normal"/>
    <w:link w:val="CharStyle14"/>
    <w:pPr>
      <w:widowControl w:val="0"/>
      <w:shd w:val="clear" w:color="auto" w:fill="auto"/>
      <w:spacing w:after="240"/>
      <w:outlineLvl w:val="0"/>
    </w:pPr>
    <w:rPr>
      <w:rFonts w:ascii="Arial" w:eastAsia="Arial" w:hAnsi="Arial" w:cs="Arial"/>
      <w:b w:val="0"/>
      <w:bCs w:val="0"/>
      <w:i w:val="0"/>
      <w:iCs w:val="0"/>
      <w:smallCaps w:val="0"/>
      <w:strike w:val="0"/>
      <w:sz w:val="32"/>
      <w:szCs w:val="3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s>
</file>