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74520" distL="111696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0" distL="114300" distR="114300" simplePos="0" relativeHeight="125829379" behindDoc="0" locked="0" layoutInCell="1" allowOverlap="1">
                <wp:simplePos x="0" y="0"/>
                <wp:positionH relativeFrom="page">
                  <wp:posOffset>772795</wp:posOffset>
                </wp:positionH>
                <wp:positionV relativeFrom="paragraph">
                  <wp:posOffset>728980</wp:posOffset>
                </wp:positionV>
                <wp:extent cx="2529840" cy="177101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29840" cy="1771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4360A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Ингушетия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Победы, 3, корп. «С»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Назрань, 386102</w:t>
                              <w:br/>
                              <w:t>телефакс (8732) 22-87-28</w:t>
                              <w:br/>
                              <w:t>е-тай: 1о06@Га8.§оу.ги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4360A4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0.850000000000001pt;margin-top:57.399999999999999pt;width:199.20000000000002pt;height:139.45000000000002pt;z-index:-125829374;mso-wrap-distance-left:9.pt;mso-wrap-distance-top:56.399999999999999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4360A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Ингушетия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Победы, 3, корп. «С»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Назрань, 386102</w:t>
                        <w:br/>
                        <w:t>телефакс (8732) 22-87-28</w:t>
                        <w:br/>
                        <w:t>е-тай: 1о06@Га8.§оу.ги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4360A4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9262745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ко@8ЪегЪапк-а81.ги; ргореГу@8ЪегЪапк- а81.ги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Следственное управление по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Ингушетия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386001, г. Магас, ул. Д.Мальсагова, д.23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Ахгай79@тай .ги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"Брокер Групп"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9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оооЛепдег.Ъгокег77@дтай.сот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 006/06/105-526/2024 о нарушении</w:t>
        <w:br/>
        <w:t>законодательства о контрактной системе</w:t>
        <w:br/>
        <w:t>г. Назрань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Резолютивная часть решения объявлена 16 октября 2024 года В полном объеме решение изготовлено 21 октября 2024 года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закупок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комиссии: Б.Б. Точиев - руководительУправления;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А.А. Аушев - начальник отдела контроля торговУправления;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отсутствии представителей: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заказчика - СУ СК России по Республике Ингушетия(далее - Заказчик);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заявителя жалобы: ООО «Брокер Групп» -(далее - Заявитель).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Все стороны уведомлены надлежащим образом, заявлений и ходатайств не поступало.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  <w:rPr>
          <w:sz w:val="26"/>
          <w:szCs w:val="26"/>
        </w:rPr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531" w:bottom="1313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Рассмотрев жалобу Заявителя на действия (бездействия) Заказчика и Уполномоченного органа) при проведении процедуры закупки № 0114100001424000006 на оказание услуг по охране объектов и административного здания следственного управления Следственного комитета Российской Федерации по Республики Ингушетия и пяти территориальных отделов (далее - Закупка), выразившиеся в нарушении норм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проведя внеплановую проверку в соответствии со статьями 99 и 106 Закона о контрактной системе,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УСТАНОВИЛА: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Уполномоченным органом в единой информационной системе в сети Интернет по размещению информации о размещении заказов ххлхлу./акиркгдоу.ги (далее - ЕИС) размещено извещение о проведении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Согласно жалобе при размещении Закупки Заказчиком допущены следующие нарушения: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не установлены дополнительные требования к участникам закупки согласно части 2 статьи 31 Закона о контрактной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1" w:val="left"/>
        </w:tabs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не установлено требование о наличии лицензии у участника торгов;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извещение Закупки не содержит сведения о порядке внесения денежных средств в качестве обеспечения заявки на участие в закупке, условия независимой банковской гарантии.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возражений на доводы жалобы не поступало.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15.10.2024 Комиссией Управления был объявлен перерыв в рассмотрении жалобы и проведении внеплановой проверки до 16.10.2024.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извещение об осуществлении закупки размещено в ЕИС - 02.10.2024;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начальная (максимальная) цена контракта - 8 030 100,00 рублей;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и время окончания подачи заявок - 10.10.2024 10:00;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- 11.10.2024.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Управления пришла к следующим выводам.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аукцион начинается с размещения в единой информационной системе извещения об осуществлении закупки (часть 1 статьи 49 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59" w:lineRule="auto"/>
        <w:ind w:left="0" w:right="0" w:firstLine="720"/>
        <w:jc w:val="both"/>
        <w:rPr>
          <w:sz w:val="24"/>
          <w:szCs w:val="24"/>
        </w:rPr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714" w:right="546" w:bottom="816" w:left="1106" w:header="0" w:footer="388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2024-3421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содержащее следующую информацию: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участникам отдельных видов закупок дополнительные требования, в том числе к наличию: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финансовых ресурсов для исполнения контракта;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опыта работы, связанного с предметом контракта, и деловой репутации;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«а» пункта 1 Постановление 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— постановление №2571) установлено, что к участникам закупки отдельных видов товаров, работ, услуг, участникам отдельных видов закупок товаров, работ, услуг предъявляются дополнительные требования согласно приложению.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Комиссией Управления отмечено, что объектом Закупки является оказание услуг по охране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объектов и административного здания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пунктом 34 приложения к Постановлению №2571 установлено, что дополнительные требования к участникам закупки устанавливаются в случае оказанияуслуги по обеспечению охраны объектов (территорий).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пункту 3 Постановления №2571 положения настоящего постановления к позиции 34приложения к Постановлению №2571 могут не применяться в случае, если при осуществлении закупки начальная (максимальная) цена контракта не превышает 500 тыс. рублей.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Однако, начальная (максимальная) цена контракта Закупки составляет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8 030 100,00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руб., то есть превышает установленный размер НМЦК.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вышеуказанных обстоятельствах Заказчик обязан установить дополнительные требования к участникам торгов.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нарушение требований части 2 статьи 31 и пункта 12 части 1 статьи 42 Закона о контрактной системе, а также Постановления №2571 Заказчиком при размещении извещения Закупки не установлены дополнительные требования к участникам торгов.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вышеизложенного Комиссией Управления первый довод жалобы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не установления дополнительных требований к участникам закупки признан обоснованным.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4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аукцион начинается с размещения в единой информационной системе извещения об осуществлении закупки (часть 1 статьи 49 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требования, предъявляемые к участникам закупки в соответствии с частью 1 статьи 31 настоящего Федерального закона, требования, предъявляемые к участникам закупки в соответствии с частями 2 и 2.1 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настоящего Федерального закона (при наличии такого требования).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Согласно пункту 1 части 1 статьи 31 Закона о контрактной системе, при осуществлении закупки заказчик устанавливает, в числе прочего, единые требования к участникам закупки о соответствие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со статьей 49 Гражданского кодекса Российской Федерации, в случаях, предусмотренных законом, юридическое лицо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 пунктом 32 статьи 12 Федерального закона от 04.05.2011 № 99- ФЗ «О лицензировании отдельных видов деятельности» частная охранная деятельность подлежит обязательному лицензированию.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Согласно жалобе при размещении Закупки неправомерно не установлены требования о наличии у участника торгов лицензии на осуществление частной охранной деятельности.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Рассматривая указанный довод жалобы Комиссией Управления установлено, что объектом Закупки является оказание услуг по охране объектов и административного здания следственного управления Следственного комитета Российской Федерации по Республики Ингушетия и пяти территориальных отделов.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 этом Распоряжением Правительства РФ от 10.02.2017 № 239-р «Об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утверждении перечня объектов, находящихся в ведении федеральных государственных органов, охраняемых военизированными и сторожевыми подразделениями организаций» утвержден прилагаемый перечень объектов, находящихся в ведении федеральных государственных органов, охраняемых военизированными и сторожевыми подразделениями организаций, подведомственных Федеральной службе войск национальной гвардии Российской Федерации, и ведомственной охраной федеральных органов исполнительной власти, на период до создания ведомственной охраны федеральными государственными органами. В указанный перечень включены объекты, находящиеся в сфере ведения Следственного комитета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Также Постановлением Правительства РФ от 14.08.1992 № 587 «Вопросы частной детективной (сыскной) и частной охранной деятельности» утвержден перечень объектов, на которые частная охранная деятельность не распространяется, в который включены объекты следственных органов Следственного комитета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Следовательно, организации, осуществляющие частную охранную деятельность, не вправе оказывать услуги на объектах, находящиеся в сфере ведения Следственного комитета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4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На основании изложенного Комиссией Управления второй довод жалобы признан необоснованным.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3 статьи 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Электронный конкурс начинается с размещения в единой информационной системе извещения об осуществлении закупки (часть 1 статьи 48 Закона о контрактной системе).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16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 размер и порядок внесения денежных средств в качестве обеспечения заявки на участие в закупке, условия независимой гарантии (если требование обеспечения заявки установлено в соответствии со статьей 44 настоящего Федерального закона),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реквизиты счета,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на котором в соответствии с законодательством Российской Федерации учитываются операции со средствами, поступающими заказчику, реквизиты счета для перечисления денежных средств в случае, предусмотренном частью 13 статьи 44 настоящего Федерального закона.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Заказчиком в извещении Закупки указано следующее: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«Реквизиты счета для учета операций со средствами, поступающими заказчику р/с 00000000000000000000, л/с См. прилагаемые документы, БИК 000000000».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извещение Закупки содержит недостоверные сведения относительно реквизитов счета Заказчика.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указанного Комиссией Управления второй довод жалобы признан обоснованным, в действиях Заказчика — нарушение пункта 16 части 1 статьи 42 Закона о контрактной системе.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Рассматривая вопрос о выдаче обязательного для исполнения предписания об устранении выявленных нарушений Комиссией Управления принято решение такое предписание не выдавать, так как указанные нарушения на повлияли на результат определения победителя торгов.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ходе проведения внеплановой проверки иных нарушений требований Закона о контрактной системе не выявлено.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Управления при проведении внеплановой проверки, Комиссия, руководствуясь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статьями 99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106</w:t>
      </w:r>
      <w:r>
        <w:rPr>
          <w:color w:val="00008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Закона о контрактной системе,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РЕШИЛА: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Признать жалобу ООО «Брокер Групп» частично обоснованной.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Признать в действиях Заказчика нарушения части 2 статьи 31, пунктов 12 и 16 части 1 статьи 42 Закона о контрактной системе, а также положений Постановления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Правительства РФ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Обязательное для исполнения предписание не выдавать.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Передать материалы дела должностному лицу Управления для решения вопроса о привлечении виновных должностных лиц к административной ответственности.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со статьи 106 Закона о контрактной системе направить настоящее решение сторонам.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7805" w:val="left"/>
        </w:tabs>
        <w:bidi w:val="0"/>
        <w:spacing w:before="0" w:after="580" w:line="254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720"/>
        <w:jc w:val="both"/>
        <w:rPr>
          <w:sz w:val="26"/>
          <w:szCs w:val="26"/>
        </w:rPr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5657215</wp:posOffset>
                </wp:positionH>
                <wp:positionV relativeFrom="paragraph">
                  <wp:posOffset>12700</wp:posOffset>
                </wp:positionV>
                <wp:extent cx="892810" cy="24066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406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А.А. Аушев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45.44999999999999pt;margin-top:1.pt;width:70.299999999999997pt;height:18.949999999999999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А.А. Аушев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headerReference w:type="default" r:id="rId12"/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708" w:right="540" w:bottom="1254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36905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50.1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722630</wp:posOffset>
              </wp:positionH>
              <wp:positionV relativeFrom="page">
                <wp:posOffset>10018395</wp:posOffset>
              </wp:positionV>
              <wp:extent cx="636905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2024-3421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899999999999999pt;margin-top:788.85000000000002pt;width:50.14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765810</wp:posOffset>
              </wp:positionV>
              <wp:extent cx="7620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75pt;margin-top:60.300000000000004pt;width:6.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3923030</wp:posOffset>
              </wp:positionH>
              <wp:positionV relativeFrom="page">
                <wp:posOffset>764540</wp:posOffset>
              </wp:positionV>
              <wp:extent cx="73025" cy="12509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02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8.90000000000003pt;margin-top:60.200000000000003pt;width:5.75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header" Target="header2.xml"/><Relationship Id="rId13" Type="http://schemas.openxmlformats.org/officeDocument/2006/relationships/footer" Target="footer3.xml"/></Relationships>
</file>