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12700</wp:posOffset>
            </wp:positionV>
            <wp:extent cx="2761615" cy="330390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61615" cy="3303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861695</wp:posOffset>
                </wp:positionH>
                <wp:positionV relativeFrom="paragraph">
                  <wp:posOffset>2234565</wp:posOffset>
                </wp:positionV>
                <wp:extent cx="835025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8.10.2024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7.849999999999994pt;margin-top:175.95000000000002pt;width:65.75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8.10.2024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1572260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3.8pt;margin-top:57.649999999999999pt;width:70.549999999999997pt;height:11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1120775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8.25pt;margin-top:69.400000000000006pt;width:144.95000000000002pt;height:10.8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1160780</wp:posOffset>
                </wp:positionH>
                <wp:positionV relativeFrom="paragraph">
                  <wp:posOffset>1670685</wp:posOffset>
                </wp:positionV>
                <wp:extent cx="1761490" cy="1339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149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1.400000000000006pt;margin-top:131.55000000000001pt;width:138.70000000000002pt;height:10.5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1090295</wp:posOffset>
                </wp:positionH>
                <wp:positionV relativeFrom="paragraph">
                  <wp:posOffset>1804670</wp:posOffset>
                </wp:positionV>
                <wp:extent cx="1896110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(8652) 35-51-19, факс (8652) 35-51-19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5.850000000000009pt;margin-top:142.09999999999999pt;width:149.30000000000001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(8652) 35-51-19, факс (8652) 35-51-19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1511300</wp:posOffset>
                </wp:positionH>
                <wp:positionV relativeFrom="paragraph">
                  <wp:posOffset>1941830</wp:posOffset>
                </wp:positionV>
                <wp:extent cx="1073150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е-тап: 1о26@газ.яоу.ги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9.pt;margin-top:152.90000000000001pt;width:84.5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е-тап: 1о26@газ.яоу.ги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1593215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5.45pt;margin-top:87.650000000000006pt;width:70.7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1291590</wp:posOffset>
                </wp:positionH>
                <wp:positionV relativeFrom="paragraph">
                  <wp:posOffset>1417955</wp:posOffset>
                </wp:positionV>
                <wp:extent cx="1505585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Ставропольскому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1.7pt;margin-top:111.65000000000001pt;width:118.55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Ставропольскому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898650" distL="321310" distR="422275" simplePos="0" relativeHeight="125829379" behindDoc="0" locked="0" layoutInCell="1" allowOverlap="1">
                <wp:simplePos x="0" y="0"/>
                <wp:positionH relativeFrom="page">
                  <wp:posOffset>922655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.650000000000006pt;margin-top:99.900000000000006pt;width:176.90000000000001pt;height:11.75pt;z-index:-125829374;mso-wrap-distance-left:25.300000000000001pt;mso-wrap-distance-top:98.900000000000006pt;mso-wrap-distance-right:33.25pt;mso-wrap-distance-bottom:149.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"ГЕОМЕД"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123308, город Москва, 1-Я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Магистральная ул, д. 25, помещ. 19н деоте477@тай.ги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"Северо-Кавказский федеральный научно-клинический центр медико-биологического агентства"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СК, г. Ессентуки, ул. Советская, 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ипо81-еко@уапдех.ги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026/06/106-2487/2024</w:t>
        <w:br/>
        <w:t>о нарушении законодательства о закупках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520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года</w:t>
        <w:tab/>
        <w:t>г. Ставрополь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 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в отсутствии представителя, от заказчика - в отсутствии представителя,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«ГЕОМЕД» на действия заказчика - ФГБУ СКФНКЦ ФМБА России по факту осуществления закупки путем проведения аукциона в электронной форме № 0321100017624000515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изделий медицинского назначения (перчатки) для нужд КБ № 101 ФФГБУ СКФНКЦ ФМБА России в г. Лермонтове».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16.10.2024 г. с вызовом сторон по делу.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ст. 99 Закона №44-ФЗ внеплановую проверку закупки установила следующее: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.10.2024 г. Заказчиком опубликовано извещение о проведении закупки № 0321100017624000515 «поставка изделий медицинского назначения (перчатки) для нужд КБ № 101 ФФГБУ СКФНКЦ ФМБА России в г. Лермонтове».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НМЦК 1 499 000,00 ₽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необходимы к поставке медицинские перчатки.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было подана одна заявка, допущена.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«ГЕОМЕД» подало жалобу в Ставропольское УФАС России, указав на следующее: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По позициям №№8-11 описания объекта закупки к поставке требуются Перчатки смотровые/процедурные, форма перчатки с повторяющимися кольцевыми анатомическими расширениями в области суставов пальцев для снижения нагрузки на пальцы при продолжительных манипуляциях.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малейших указаний на форму перчатки с повторяющимися кольцевыми анатомическими расширениями в области суставов пальцев не содержится ни в одном нормативно-правовом акте 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По позиции №10 - Перчатки смотровые/процедурные нитриловые, неопудренные,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стерильные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(код КТРУ 22.19.60.119-00000014,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код вида медицинского изделия 329770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которые должны иметь форму с повторяющимися кольцевыми анатомическими расширениями в области суставов пальцев .».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ч. 2 ст.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извещение об осуществлении закупки, если иное не предусмотрено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должно содержать описание объекта закупки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ч. 1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несовместимость товаров, на которых размещаются другие товарные знаки,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2 части 1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определено, что при описании объекта закупки заказчик должен обеспечить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установлено, что описание объекта закупки в соответствии с требованиями, указанными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части 1 настоящей статьи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по смыслу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при формировании описания объекта закупки Заказчику в рамках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что заказчики, осуществляющие закупку по правилам данного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именно с такими характеристиками, которые ему необходимы.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5 ч. 1 ст.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6 ст.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ст.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Пунктами 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К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К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которые не предусмотрены в позиции каталога, за исключением случаев: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Правительства Российской Федерации от 30 апреля 2020 г. К 616 "Об установлении запрета на допуск промышленных товаров, происходящих из иностранных государств, для целей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перечень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К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К 925 и признании утратившими силу некоторых актов Правительства Российской Федерации", при условии установления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ограничения на допуск радиоэлектронной продукции, происходящей из иностранных государств;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5 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Правил, в случае предоставления дополнительной информации, предусмотренной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статьи 33 Закона № 44-Ф3, 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товару, работе, услуге.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на основании действующего законодательства в сфере закупок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функций, детализируя в необходимой степени предмет закупок, то есть при описании товара заказчик вправе указывать качественные параметры к объекту закупок, которые являются определяющими для него.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Представитель Заказчика на заседании Комиссии пояснил, что требование 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форме перчатки с повторяющимися кольцевыми анатомическими расширениями в области суставов пальцев вызвано необходимостью профилактики утомляемости и снижения нагрузки на пальцы и кисть при продолжительных манипуляциях и манипуляциях, требующих точности движений.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опровержение доводов Заявителя жалобы, представитель Заказчика отметил, что в настоящее время существует как минимум 2 различных производителя, продукция которых соответствует требованиям описания объекта закупки, а также представил документальное подтверждение своих слов.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 перчаткам производителей, соответствующим требованиям Описания объекта закупки, согласно представленным доказательствам, можно отнести следующие: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НеКотед. Напде1§де§ т.Ъ.Н с регистрационным удостоверением ФС3 2009/04144 от 11.06.2014 г.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^РР А8^а РасШс Ын ВЫ с регистрационным удостоверением ФСЗ 2010/07612 от 18.08.2014 г.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"Ройал Краун" с регистрационным удостоверением РЗН 2023/21857 от 29.12.2023 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на рассмотрение дела не обеспечил, доказательства и документы опровергающие представленные к рассмотрению дела документы со стороны заказчика, не представил.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установлено, что под описание объекта закупки подходят товары разных производителей, ограничений не усматривается.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результате проведения проверки Комиссия приходит к выводу об отсутствии обоснованности доводов Заявителя, в действиях Заказчика нарушений законодательства о контрактной системе не установлено.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«ГЕОМЕД» на действия заказчика - ФГБУ СКФНКЦ ФМБА России по факту осуществления закупки путем проведения аукциона в электронной форме № 0321100017624000515 «поставка изделий медицинского назначения (перчатки) для нужд КБ № 101 ФФГБУ СКФНКЦ ФМБА России в г. Лермонтове». - необоснованной.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76200" distR="1862455" simplePos="0" relativeHeight="125829381" behindDoc="0" locked="0" layoutInCell="1" allowOverlap="1">
            <wp:simplePos x="0" y="0"/>
            <wp:positionH relativeFrom="page">
              <wp:posOffset>2663190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70000000000002pt;margin-top:36.450000000000003pt;width:101.3pt;height:8.15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34999999999999pt;margin-top:11.950000000000001pt;width:135.59999999999999pt;height:20.15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Г.В. Золина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4ОСЕ71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751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6А6Е9ВВ2Е01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ОВСА4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2" behindDoc="0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30000000000001pt;margin-top:11.5pt;width:135.59999999999999pt;height:20.15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Б.Ш.Карпель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00ВЕ2ОЗЕС52ГЮА63А577ОЕСАВ4ЮЗЕ72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widowControl w:val="0"/>
        <w:spacing w:line="1" w:lineRule="exact"/>
      </w:pPr>
      <w:r>
        <w:drawing>
          <wp:anchor distT="0" distB="0" distL="0" distR="1804670" simplePos="0" relativeHeight="125829383" behindDoc="0" locked="0" layoutInCell="1" allowOverlap="1">
            <wp:simplePos x="0" y="0"/>
            <wp:positionH relativeFrom="page">
              <wp:posOffset>2617470</wp:posOffset>
            </wp:positionH>
            <wp:positionV relativeFrom="paragraph">
              <wp:posOffset>0</wp:posOffset>
            </wp:positionV>
            <wp:extent cx="311150" cy="35941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3010535</wp:posOffset>
                </wp:positionH>
                <wp:positionV relativeFrom="paragraph">
                  <wp:posOffset>69850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37.05000000000001pt;margin-top:5.5pt;width:135.59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30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erReference w:type="default" r:id="rId13"/>
      <w:footerReference w:type="first" r:id="rId14"/>
      <w:footnotePr>
        <w:pos w:val="pageBottom"/>
        <w:numFmt w:val="decimal"/>
        <w:numRestart w:val="continuous"/>
      </w:footnotePr>
      <w:pgSz w:w="11900" w:h="16840"/>
      <w:pgMar w:top="1105" w:right="535" w:bottom="1183" w:left="1098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6.800000000000004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57.050000000000004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3">
    <w:name w:val="Основной текст (3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9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2">
    <w:name w:val="Основной текст (3)"/>
    <w:basedOn w:val="Normal"/>
    <w:link w:val="CharStyle33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/Relationships>
</file>