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ГЗ/13467/2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"ГЕОМЕД"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123308, город Москва, 1-Я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Магистральная ул, д. 25, помещ. 19н деотед.77@тай.ги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СКФНКЦ ФМБА России 357600, СК, г. Ессентуки, ул. Советская, д. 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61" w:bottom="1312" w:left="1140" w:header="0" w:footer="3" w:gutter="0"/>
          <w:pgNumType w:start="1"/>
          <w:cols w:num="2" w:space="720" w:equalWidth="0">
            <w:col w:w="4262" w:space="1003"/>
            <w:col w:w="483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8к@ГтЪатай.ги, ипо81-еко@уапдех.ги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4" w:after="4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7" w:right="0" w:bottom="11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026/06/106-2494/2024</w:t>
        <w:br/>
        <w:t>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520" w:val="left"/>
        </w:tabs>
        <w:bidi w:val="0"/>
        <w:spacing w:before="0" w:after="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года</w:t>
        <w:tab/>
        <w:t>г. Ставрополь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 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Вишневская Е. 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/>
        <w:ind w:left="8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в отсутствии представителя, от заказчика - в отсутствии представителя,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Ставропольское УФАС России поступила жалоба ООО «ГЕОМЕД» на действия заказчика - ФГБУ СКФНКЦ ФМБА России по факту осуществления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 путем проведения аукциона в электронной форме № 0321100017624000518 «поставка изделий медицинского назначения (перчатки) для нужд КБ № 101 ФФГБУ СКФНКЦ ФМБА России в г. Лермонтове».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№ 44-ФЗ) принята к рассмотрению и назначена на 16.10.2024 г. с вызовом сторон по делу.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г. комиссия, рассмотрев доводы жалобы, проанализировав имеющиеся в деле документы, проведя в соответствии со ст. 99 Закона №44-ФЗ внеплановую проверку закупки установила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</w:t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.10.2024 г. Заказчиком опубликовано извещение о проведении закупки № 0321100017624000518 «поставка изделий медицинского назначения (перчатки) для нужд КБ № 101 ФФГБУ СКФНКЦ ФМБА России в г. Лермонтове».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НМЦК 1 499 000,00 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необходимы к поставке медицинские перчатки.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было подана одна заявка, допущена.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«ГЕОМЕД» подало жалобу в Ставропольское УФАС России, указав на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 По позициям №№8-11 описания объекта закупки к поставке требуются Перчатки смотровые/процедурные, форма перчатки с повторяющимися кольцевыми анатомическими расширениями в области суставов пальцев для снижения нагрузки на пальцы при продолжительных манипуляциях.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Каких-либо малейших указаний на форму перчатки с повторяющимися кольцевыми анатомическими расширениями в области суставов пальцев не содержится ни в одном нормативно-правовом акте 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По позиции №10 - Перчатки смотровые/процедурные нитриловые, неопудренные,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стерильные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(код КТРУ 22.19.60.119-00000014,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код вида медицинского изделия 329770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), которые должны иметь форму с повторяющимися кольцевыми анатомическими расширениями в области суставов пальцев .».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1 ч. 2 ст.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Закона, извещение об осуществлении закупки, если иное не предусмотрено настоящим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должно содержать описание объекта закупки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1 ч. 1 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2 части 1 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определено, что при описании объекта закупки заказчик должен обеспечить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 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установлено, что описание объекта закупки в соответствии с требованиями, указанными в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части 1 настоящей статьи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по смыслу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Закона, при формировании описания объекта закупки Заказчику в рамках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предоставлены полномочия по самостоятельному определению размера лота, а также спецификации и параметров и характеристик товара, в наибольшей степени удовлетворяющих его потребности. Однако из буквального толкования вышеприведенных положений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что заказчики, осуществляющие закупку по правилам данного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5 ч. 1 ст.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 6 ст.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ст.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Пунктами 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К 145,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К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работ, услуг для обеспечения государственных и муниципальных нужд".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Закона, которые не предусмотрены в позиции каталога, за исключением случаев: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постановлению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Правительства Российской Федерации от 30 апреля 2020 г. К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перечень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К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К 925 и признании утратившими силу некоторых актов Правительства Российской Федерации", при условии установления в соответствии с указанным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ограничения на допуск радиоэлектронной продукции, происходящей из иностранных государств;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5 статьи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6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Правил, в случае предоставления дополнительной информации, предусмотренной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настоящих Правил, заказчик обязан включить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положений статьи 33 Закона № 44-Ф3, при описании объекта закупки (формировании технического задания)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Заказчик вправе в необходимой степени детализировать требования к товару, работе, услуге.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на основании действующего законодательства в сфере закупок заказчик вправе включить в описание объекта закупки такие характеристики и требования к товару, которые отвечают его потребностям и необходимы для выполнения соответствующих функций, детализируя в необходимой степени предмет закупок, то есть при описании товара заказчик вправе указывать качественные параметры к объекту закупок, которые являются определяющими для него.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на заседании Комиссии пояснил, что требование к форме перчатки с повторяющимися кольцевыми анатомическими расширениями в области суставов пальцев вызвано необходимостью профилактики утомляемости и снижения нагрузки на пальцы и кисть при продолжительных манипуляциях и манипуляциях, требующих точности движений.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опровержение доводов Заявителя жалобы, представитель Заказчика отметил, что в настоящее время существует как минимум 2 различных производителя, продукция которых соответствует требованиям описания объекта закупки, а также представил документальное подтверждение своих слов.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к перчаткам производителей, соответствующим требованиям Описания объекта закупки, согласно представленным доказательствам, можно отнести следующие: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НеКотед. Напде1§де§ т.Ъ.Н с регистрационным удостоверением ФС3 2009/04144 от 11.06.2014 г.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^РР А8^а РасШс 8дп ВЫ с регистрационным удостоверением ФСЗ 2010/07612 от 18.08.2014 г.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"Ройал Краун" с регистрационным удостоверением РЗН 2023/21857 от 29.12.2023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явку на рассмотрение дела не обеспечил, доказательства и документы опровергающие представленные к рассмотрению дела документы со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стороны заказчика, не представил.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установлено, что под описание объекта закупки подходят товары разных производителей, ограничений не усматривается.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участвующих лиц, приведенные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результате проведения проверки Комиссия приходит к выводу об отсутствии обоснованности доводов Заявителя, в действиях Заказчика нарушений законодательства о контрактной системе не установлено.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«ГЕОМЕД» на действия заказчика - ФГБУ СКФНКЦ ФМБА России по факту осуществления закупки путем проведения аукциона в электронной форме № 0321100017624000518 «поставка изделий медицинского назначения (перчатки) для нужд КБ № 101 ФФГБУ СКФНКЦ ФМБА России в г. Лермонтове». -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7" w:right="532" w:bottom="1121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40665" distL="0" distR="0" simplePos="0" relativeHeight="125829379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88900</wp:posOffset>
                </wp:positionV>
                <wp:extent cx="1828800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7.pt;width:144.pt;height:19.449999999999999pt;z-index:-125829374;mso-wrap-distance-left:0;mso-wrap-distance-top:7.pt;mso-wrap-distance-right:0;mso-wrap-distance-bottom:18.94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3510" distB="6350" distL="0" distR="1402080" simplePos="0" relativeHeight="125829381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143510</wp:posOffset>
            </wp:positionV>
            <wp:extent cx="286385" cy="42672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86385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3018155</wp:posOffset>
                </wp:positionH>
                <wp:positionV relativeFrom="paragraph">
                  <wp:posOffset>454660</wp:posOffset>
                </wp:positionV>
                <wp:extent cx="1014730" cy="8826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88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37.65000000000001pt;margin-top:35.800000000000004pt;width:79.900000000000006pt;height:6.95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2981960</wp:posOffset>
                </wp:positionH>
                <wp:positionV relativeFrom="paragraph">
                  <wp:posOffset>210820</wp:posOffset>
                </wp:positionV>
                <wp:extent cx="1362710" cy="21018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27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4.80000000000001pt;margin-top:16.600000000000001pt;width:107.3pt;height:16.5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9090" distB="0" distL="0" distR="0" simplePos="0" relativeHeight="125829382" behindDoc="0" locked="0" layoutInCell="1" allowOverlap="1">
                <wp:simplePos x="0" y="0"/>
                <wp:positionH relativeFrom="page">
                  <wp:posOffset>6289040</wp:posOffset>
                </wp:positionH>
                <wp:positionV relativeFrom="paragraph">
                  <wp:posOffset>339090</wp:posOffset>
                </wp:positionV>
                <wp:extent cx="905510" cy="2374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5.19999999999999pt;margin-top:26.699999999999999pt;width:71.299999999999997pt;height:18.699999999999999pt;z-index:-125829371;mso-wrap-distance-left:0;mso-wrap-distance-top:26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40С65А14ОСЕ717516А6Е9ВВ2Р0ЮВСА4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both"/>
      </w:pP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09.09.2024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6" w:bottom="268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framePr w:w="2155" w:h="398" w:wrap="none" w:vAnchor="text" w:hAnchor="page" w:x="917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 В. Вишневская</w:t>
      </w:r>
    </w:p>
    <w:p>
      <w:pPr>
        <w:pStyle w:val="Style15"/>
        <w:keepNext w:val="0"/>
        <w:keepLines w:val="0"/>
        <w:framePr w:w="2208" w:h="398" w:wrap="none" w:vAnchor="text" w:hAnchor="page" w:x="9112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 Р. Калиниченко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2707005</wp:posOffset>
            </wp:positionH>
            <wp:positionV relativeFrom="paragraph">
              <wp:posOffset>42545</wp:posOffset>
            </wp:positionV>
            <wp:extent cx="1816735" cy="76200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816735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2731770</wp:posOffset>
            </wp:positionH>
            <wp:positionV relativeFrom="paragraph">
              <wp:posOffset>929640</wp:posOffset>
            </wp:positionV>
            <wp:extent cx="1798320" cy="74993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798320" cy="7499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4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96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10045065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2024-15245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90.95000000000005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2024-15245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2024-15245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2024-15245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7"/>
      <w:sz w:val="8"/>
      <w:szCs w:val="8"/>
      <w:u w:val="none"/>
    </w:rPr>
  </w:style>
  <w:style w:type="character" w:customStyle="1" w:styleId="CharStyle26">
    <w:name w:val="Основной текст (3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9"/>
      <w:szCs w:val="9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52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7"/>
      <w:sz w:val="8"/>
      <w:szCs w:val="8"/>
      <w:u w:val="none"/>
    </w:rPr>
  </w:style>
  <w:style w:type="paragraph" w:customStyle="1" w:styleId="Style25">
    <w:name w:val="Основной текст (3)"/>
    <w:basedOn w:val="Normal"/>
    <w:link w:val="CharStyle26"/>
    <w:pPr>
      <w:widowControl w:val="0"/>
      <w:shd w:val="clear" w:color="auto" w:fill="auto"/>
      <w:spacing w:after="13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